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400"/>
      </w:pPr>
      <w:r>
        <w:rPr>
          <w:sz w:val="96"/>
          <w:szCs w:val="96"/>
        </w:rPr>
        <w:t xml:space="preserve">🐢</w:t>
      </w:r>
    </w:p>
    <w:p>
      <w:pPr>
        <w:pStyle w:val="Title"/>
      </w:pPr>
      <w:r>
        <w:t xml:space="preserve">Commissioning Report</w:t>
      </w:r>
    </w:p>
    <w:p>
      <w:pPr>
        <w:pStyle w:val="Subtitle"/>
      </w:pPr>
      <w:r>
        <w:t xml:space="preserve">and Production Sign-off — Mario's Pizzeria Kiosk v1.0, v1.1, v1.2</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400"/>
        <w:gridCol w:w="6600"/>
      </w:tblGrid>
      <w:tr>
        <w:tc>
          <w:tcPr>
            <w:tcW w:type="dxa" w:w="2400"/>
            <w:tcBorders>
              <w:top w:val="single" w:color="CCCCCC" w:sz="4"/>
              <w:left w:val="single" w:color="CCCCCC" w:sz="4"/>
              <w:bottom w:val="single" w:color="CCCCCC" w:sz="4"/>
              <w:right w:val="single" w:color="CCCCCC" w:sz="4"/>
            </w:tcBorders>
            <w:shd w:fill="FFF6E5" w:color="auto" w:val="clear"/>
            <w:tcMar>
              <w:top w:type="dxa" w:w="80"/>
              <w:left w:type="dxa" w:w="120"/>
              <w:bottom w:type="dxa" w:w="80"/>
              <w:right w:type="dxa" w:w="120"/>
            </w:tcMar>
            <w:vAlign w:val="center"/>
          </w:tcPr>
          <w:p>
            <w:pPr>
              <w:jc w:val="left"/>
            </w:pPr>
            <w:r>
              <w:rPr>
                <w:b/>
                <w:bCs/>
                <w:sz w:val="20"/>
                <w:szCs w:val="20"/>
              </w:rPr>
              <w:t xml:space="preserve">Project</w:t>
            </w:r>
          </w:p>
        </w:tc>
        <w:tc>
          <w:tcPr>
            <w:tcW w:type="dxa" w:w="6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Mario's Pizzeria Automated Ordering Kiosk</w:t>
            </w:r>
          </w:p>
        </w:tc>
      </w:tr>
      <w:tr>
        <w:tc>
          <w:tcPr>
            <w:tcW w:type="dxa" w:w="2400"/>
            <w:tcBorders>
              <w:top w:val="single" w:color="CCCCCC" w:sz="4"/>
              <w:left w:val="single" w:color="CCCCCC" w:sz="4"/>
              <w:bottom w:val="single" w:color="CCCCCC" w:sz="4"/>
              <w:right w:val="single" w:color="CCCCCC" w:sz="4"/>
            </w:tcBorders>
            <w:shd w:fill="FFF6E5" w:color="auto" w:val="clear"/>
            <w:tcMar>
              <w:top w:type="dxa" w:w="80"/>
              <w:left w:type="dxa" w:w="120"/>
              <w:bottom w:type="dxa" w:w="80"/>
              <w:right w:type="dxa" w:w="120"/>
            </w:tcMar>
            <w:vAlign w:val="center"/>
          </w:tcPr>
          <w:p>
            <w:pPr>
              <w:jc w:val="left"/>
            </w:pPr>
            <w:r>
              <w:rPr>
                <w:b/>
                <w:bCs/>
                <w:sz w:val="20"/>
                <w:szCs w:val="20"/>
              </w:rPr>
              <w:t xml:space="preserve">Client</w:t>
            </w:r>
          </w:p>
        </w:tc>
        <w:tc>
          <w:tcPr>
            <w:tcW w:type="dxa" w:w="6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Mario's Pizzeria (classroom brief)</w:t>
            </w:r>
          </w:p>
        </w:tc>
      </w:tr>
      <w:tr>
        <w:tc>
          <w:tcPr>
            <w:tcW w:type="dxa" w:w="2400"/>
            <w:tcBorders>
              <w:top w:val="single" w:color="CCCCCC" w:sz="4"/>
              <w:left w:val="single" w:color="CCCCCC" w:sz="4"/>
              <w:bottom w:val="single" w:color="CCCCCC" w:sz="4"/>
              <w:right w:val="single" w:color="CCCCCC" w:sz="4"/>
            </w:tcBorders>
            <w:shd w:fill="FFF6E5" w:color="auto" w:val="clear"/>
            <w:tcMar>
              <w:top w:type="dxa" w:w="80"/>
              <w:left w:type="dxa" w:w="120"/>
              <w:bottom w:type="dxa" w:w="80"/>
              <w:right w:type="dxa" w:w="120"/>
            </w:tcMar>
            <w:vAlign w:val="center"/>
          </w:tcPr>
          <w:p>
            <w:pPr>
              <w:jc w:val="left"/>
            </w:pPr>
            <w:r>
              <w:rPr>
                <w:b/>
                <w:bCs/>
                <w:sz w:val="20"/>
                <w:szCs w:val="20"/>
              </w:rPr>
              <w:t xml:space="preserve">Delivery team</w:t>
            </w:r>
          </w:p>
        </w:tc>
        <w:tc>
          <w:tcPr>
            <w:tcW w:type="dxa" w:w="6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Shelly Software Co. (student developer, sponsor, AI pair-programmer)</w:t>
            </w:r>
          </w:p>
        </w:tc>
      </w:tr>
      <w:tr>
        <w:tc>
          <w:tcPr>
            <w:tcW w:type="dxa" w:w="2400"/>
            <w:tcBorders>
              <w:top w:val="single" w:color="CCCCCC" w:sz="4"/>
              <w:left w:val="single" w:color="CCCCCC" w:sz="4"/>
              <w:bottom w:val="single" w:color="CCCCCC" w:sz="4"/>
              <w:right w:val="single" w:color="CCCCCC" w:sz="4"/>
            </w:tcBorders>
            <w:shd w:fill="FFF6E5" w:color="auto" w:val="clear"/>
            <w:tcMar>
              <w:top w:type="dxa" w:w="80"/>
              <w:left w:type="dxa" w:w="120"/>
              <w:bottom w:type="dxa" w:w="80"/>
              <w:right w:type="dxa" w:w="120"/>
            </w:tcMar>
            <w:vAlign w:val="center"/>
          </w:tcPr>
          <w:p>
            <w:pPr>
              <w:jc w:val="left"/>
            </w:pPr>
            <w:r>
              <w:rPr>
                <w:b/>
                <w:bCs/>
                <w:sz w:val="20"/>
                <w:szCs w:val="20"/>
              </w:rPr>
              <w:t xml:space="preserve">Version</w:t>
            </w:r>
          </w:p>
        </w:tc>
        <w:tc>
          <w:tcPr>
            <w:tcW w:type="dxa" w:w="6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1.1</w:t>
            </w:r>
          </w:p>
        </w:tc>
      </w:tr>
      <w:tr>
        <w:tc>
          <w:tcPr>
            <w:tcW w:type="dxa" w:w="2400"/>
            <w:tcBorders>
              <w:top w:val="single" w:color="CCCCCC" w:sz="4"/>
              <w:left w:val="single" w:color="CCCCCC" w:sz="4"/>
              <w:bottom w:val="single" w:color="CCCCCC" w:sz="4"/>
              <w:right w:val="single" w:color="CCCCCC" w:sz="4"/>
            </w:tcBorders>
            <w:shd w:fill="FFF6E5" w:color="auto" w:val="clear"/>
            <w:tcMar>
              <w:top w:type="dxa" w:w="80"/>
              <w:left w:type="dxa" w:w="120"/>
              <w:bottom w:type="dxa" w:w="80"/>
              <w:right w:type="dxa" w:w="120"/>
            </w:tcMar>
            <w:vAlign w:val="center"/>
          </w:tcPr>
          <w:p>
            <w:pPr>
              <w:jc w:val="left"/>
            </w:pPr>
            <w:r>
              <w:rPr>
                <w:b/>
                <w:bCs/>
                <w:sz w:val="20"/>
                <w:szCs w:val="20"/>
              </w:rPr>
              <w:t xml:space="preserve">Date</w:t>
            </w:r>
          </w:p>
        </w:tc>
        <w:tc>
          <w:tcPr>
            <w:tcW w:type="dxa" w:w="6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9 September 2026</w:t>
            </w:r>
          </w:p>
        </w:tc>
      </w:tr>
      <w:tr>
        <w:tc>
          <w:tcPr>
            <w:tcW w:type="dxa" w:w="2400"/>
            <w:tcBorders>
              <w:top w:val="single" w:color="CCCCCC" w:sz="4"/>
              <w:left w:val="single" w:color="CCCCCC" w:sz="4"/>
              <w:bottom w:val="single" w:color="CCCCCC" w:sz="4"/>
              <w:right w:val="single" w:color="CCCCCC" w:sz="4"/>
            </w:tcBorders>
            <w:shd w:fill="FFF6E5" w:color="auto" w:val="clear"/>
            <w:tcMar>
              <w:top w:type="dxa" w:w="80"/>
              <w:left w:type="dxa" w:w="120"/>
              <w:bottom w:type="dxa" w:w="80"/>
              <w:right w:type="dxa" w:w="120"/>
            </w:tcMar>
            <w:vAlign w:val="center"/>
          </w:tcPr>
          <w:p>
            <w:pPr>
              <w:jc w:val="left"/>
            </w:pPr>
            <w:r>
              <w:rPr>
                <w:b/>
                <w:bCs/>
                <w:sz w:val="20"/>
                <w:szCs w:val="20"/>
              </w:rPr>
              <w:t xml:space="preserve">Target</w:t>
            </w:r>
          </w:p>
        </w:tc>
        <w:tc>
          <w:tcPr>
            <w:tcW w:type="dxa" w:w="6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https://pizza.locbee.ai (Cloudflare Pages) + Student's Windows PC</w:t>
            </w:r>
          </w:p>
        </w:tc>
      </w:tr>
      <w:tr>
        <w:tc>
          <w:tcPr>
            <w:tcW w:type="dxa" w:w="2400"/>
            <w:tcBorders>
              <w:top w:val="single" w:color="CCCCCC" w:sz="4"/>
              <w:left w:val="single" w:color="CCCCCC" w:sz="4"/>
              <w:bottom w:val="single" w:color="CCCCCC" w:sz="4"/>
              <w:right w:val="single" w:color="CCCCCC" w:sz="4"/>
            </w:tcBorders>
            <w:shd w:fill="FFF6E5" w:color="auto" w:val="clear"/>
            <w:tcMar>
              <w:top w:type="dxa" w:w="80"/>
              <w:left w:type="dxa" w:w="120"/>
              <w:bottom w:type="dxa" w:w="80"/>
              <w:right w:type="dxa" w:w="120"/>
            </w:tcMar>
            <w:vAlign w:val="center"/>
          </w:tcPr>
          <w:p>
            <w:pPr>
              <w:jc w:val="left"/>
            </w:pPr>
            <w:r>
              <w:rPr>
                <w:b/>
                <w:bCs/>
                <w:sz w:val="20"/>
                <w:szCs w:val="20"/>
              </w:rPr>
              <w:t xml:space="preserve">Status</w:t>
            </w:r>
          </w:p>
        </w:tc>
        <w:tc>
          <w:tcPr>
            <w:tcW w:type="dxa" w:w="6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Ready for production — awaiting stakeholder sign-off</w:t>
            </w:r>
          </w:p>
        </w:tc>
      </w:tr>
    </w:tbl>
    <w:p>
      <w:r>
        <w:br w:type="page"/>
      </w:r>
    </w:p>
    <w:p>
      <w:pPr>
        <w:pStyle w:val="Heading1"/>
      </w:pPr>
      <w:r>
        <w:t xml:space="preserve">1. Purpose</w:t>
      </w:r>
    </w:p>
    <w:p>
      <w:pPr>
        <w:spacing w:after="120"/>
      </w:pPr>
      <w:r>
        <w:t xml:space="preserve">Testing proves the software does what the requirements say. Commissioning proves it does so in the place it will actually run, with the real hostname, the real network and the real users. This report records what was checked before go-live, what must be checked on the day, the risks everyone is accepting, and who signed. Nothing goes to production until page 5 is signed.</w:t>
      </w:r>
    </w:p>
    <w:p>
      <w:pPr>
        <w:pStyle w:val="Heading1"/>
      </w:pPr>
      <w:r>
        <w:t xml:space="preserve">2. System description</w:t>
      </w:r>
    </w:p>
    <w:p>
      <w:pPr>
        <w:spacing w:after="120"/>
      </w:pPr>
      <w:r>
        <w:t xml:space="preserve">Two production environments. The website is a static site on Cloudflare Pages behind the custom hostname pizza.locbee.ai, with no server-side code and no secrets. The Python scripts run locally on the Student's Windows PC with a standard Python 3 install and no extra packages.</w:t>
      </w:r>
    </w:p>
    <w:p>
      <w:pPr>
        <w:pStyle w:val="Heading2"/>
      </w:pPr>
      <w:r>
        <w:t xml:space="preserve">2.1 As-built manifest</w:t>
      </w:r>
    </w:p>
    <w:p>
      <w:pPr>
        <w:spacing w:after="120"/>
      </w:pPr>
      <w:r>
        <w:t xml:space="preserve">SHA-256 prefixes were taken on 9 September 2026 from the files that passed the Test Summary Report, and were confirmed identical on the Student's Windows PC and in the build environment before being written down. If a deployed file's hash differs from the value below, it is not the tested version.</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2800"/>
        <w:gridCol w:w="900"/>
        <w:gridCol w:w="2200"/>
        <w:gridCol w:w="3900"/>
      </w:tblGrid>
      <w:tr>
        <w:trPr>
          <w:tblHeader/>
        </w:trPr>
        <w:tc>
          <w:tcPr>
            <w:tcW w:type="dxa" w:w="28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left"/>
            </w:pPr>
            <w:r>
              <w:rPr>
                <w:b/>
                <w:bCs/>
                <w:color w:val="FFFFFF"/>
                <w:sz w:val="20"/>
                <w:szCs w:val="20"/>
              </w:rPr>
              <w:t xml:space="preserve">File</w:t>
            </w:r>
          </w:p>
        </w:tc>
        <w:tc>
          <w:tcPr>
            <w:tcW w:type="dxa" w:w="9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left"/>
            </w:pPr>
            <w:r>
              <w:rPr>
                <w:b/>
                <w:bCs/>
                <w:color w:val="FFFFFF"/>
                <w:sz w:val="20"/>
                <w:szCs w:val="20"/>
              </w:rPr>
              <w:t xml:space="preserve">Version</w:t>
            </w:r>
          </w:p>
        </w:tc>
        <w:tc>
          <w:tcPr>
            <w:tcW w:type="dxa" w:w="22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left"/>
            </w:pPr>
            <w:r>
              <w:rPr>
                <w:b/>
                <w:bCs/>
                <w:color w:val="FFFFFF"/>
                <w:sz w:val="20"/>
                <w:szCs w:val="20"/>
              </w:rPr>
              <w:t xml:space="preserve">SHA-256 (first 16)</w:t>
            </w:r>
          </w:p>
        </w:tc>
        <w:tc>
          <w:tcPr>
            <w:tcW w:type="dxa" w:w="39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left"/>
            </w:pPr>
            <w:r>
              <w:rPr>
                <w:b/>
                <w:bCs/>
                <w:color w:val="FFFFFF"/>
                <w:sz w:val="20"/>
                <w:szCs w:val="20"/>
              </w:rPr>
              <w:t xml:space="preserve">Purpose</w:t>
            </w:r>
          </w:p>
        </w:tc>
      </w:tr>
      <w:tr>
        <w:tc>
          <w:tcPr>
            <w:tcW w:type="dxa" w:w="28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code/pizza_bot.py</w:t>
            </w:r>
          </w:p>
        </w:tc>
        <w:tc>
          <w:tcPr>
            <w:tcW w:type="dxa" w:w="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v1.0</w:t>
            </w:r>
          </w:p>
        </w:tc>
        <w:tc>
          <w:tcPr>
            <w:tcW w:type="dxa" w:w="2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223cad5f7bb72675</w:t>
            </w:r>
          </w:p>
        </w:tc>
        <w:tc>
          <w:tcPr>
            <w:tcW w:type="dxa" w:w="3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School submission — text kiosk</w:t>
            </w:r>
          </w:p>
        </w:tc>
      </w:tr>
      <w:tr>
        <w:tc>
          <w:tcPr>
            <w:tcW w:type="dxa" w:w="28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code/pizza_turtle.py</w:t>
            </w:r>
          </w:p>
        </w:tc>
        <w:tc>
          <w:tcPr>
            <w:tcW w:type="dxa" w:w="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v1.0</w:t>
            </w:r>
          </w:p>
        </w:tc>
        <w:tc>
          <w:tcPr>
            <w:tcW w:type="dxa" w:w="22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bbf966c94d8574dd</w:t>
            </w:r>
          </w:p>
        </w:tc>
        <w:tc>
          <w:tcPr>
            <w:tcW w:type="dxa" w:w="3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Shelly draws last_order.json</w:t>
            </w:r>
          </w:p>
        </w:tc>
      </w:tr>
      <w:tr>
        <w:tc>
          <w:tcPr>
            <w:tcW w:type="dxa" w:w="28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code/pizza_bot_enhanced.py</w:t>
            </w:r>
          </w:p>
        </w:tc>
        <w:tc>
          <w:tcPr>
            <w:tcW w:type="dxa" w:w="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v1.1</w:t>
            </w:r>
          </w:p>
        </w:tc>
        <w:tc>
          <w:tcPr>
            <w:tcW w:type="dxa" w:w="2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55fed1e37b79033e</w:t>
            </w:r>
          </w:p>
        </w:tc>
        <w:tc>
          <w:tcPr>
            <w:tcW w:type="dxa" w:w="3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Enhanced kiosk, orders.log</w:t>
            </w:r>
          </w:p>
        </w:tc>
      </w:tr>
      <w:tr>
        <w:tc>
          <w:tcPr>
            <w:tcW w:type="dxa" w:w="28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site/index.html</w:t>
            </w:r>
          </w:p>
        </w:tc>
        <w:tc>
          <w:tcPr>
            <w:tcW w:type="dxa" w:w="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v1.2</w:t>
            </w:r>
          </w:p>
        </w:tc>
        <w:tc>
          <w:tcPr>
            <w:tcW w:type="dxa" w:w="22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31aff0712221b6c4</w:t>
            </w:r>
          </w:p>
        </w:tc>
        <w:tc>
          <w:tcPr>
            <w:tcW w:type="dxa" w:w="3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Showcase page (updated for v1.2)</w:t>
            </w:r>
          </w:p>
        </w:tc>
      </w:tr>
      <w:tr>
        <w:tc>
          <w:tcPr>
            <w:tcW w:type="dxa" w:w="28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site/kiosk.html</w:t>
            </w:r>
          </w:p>
        </w:tc>
        <w:tc>
          <w:tcPr>
            <w:tcW w:type="dxa" w:w="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v1.0</w:t>
            </w:r>
          </w:p>
        </w:tc>
        <w:tc>
          <w:tcPr>
            <w:tcW w:type="dxa" w:w="2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cb15268b9c3951aa</w:t>
            </w:r>
          </w:p>
        </w:tc>
        <w:tc>
          <w:tcPr>
            <w:tcW w:type="dxa" w:w="3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Browser kiosk</w:t>
            </w:r>
          </w:p>
        </w:tc>
      </w:tr>
      <w:tr>
        <w:tc>
          <w:tcPr>
            <w:tcW w:type="dxa" w:w="28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site/enhanced.html</w:t>
            </w:r>
          </w:p>
        </w:tc>
        <w:tc>
          <w:tcPr>
            <w:tcW w:type="dxa" w:w="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v1.2</w:t>
            </w:r>
          </w:p>
        </w:tc>
        <w:tc>
          <w:tcPr>
            <w:tcW w:type="dxa" w:w="22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c42f7ec70772274f</w:t>
            </w:r>
          </w:p>
        </w:tc>
        <w:tc>
          <w:tcPr>
            <w:tcW w:type="dxa" w:w="3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Enhanced browser kiosk</w:t>
            </w:r>
          </w:p>
        </w:tc>
      </w:tr>
      <w:tr>
        <w:tc>
          <w:tcPr>
            <w:tcW w:type="dxa" w:w="28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site/deluxe.html</w:t>
            </w:r>
          </w:p>
        </w:tc>
        <w:tc>
          <w:tcPr>
            <w:tcW w:type="dxa" w:w="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v1.2</w:t>
            </w:r>
          </w:p>
        </w:tc>
        <w:tc>
          <w:tcPr>
            <w:tcW w:type="dxa" w:w="2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374c4744b1b66fea</w:t>
            </w:r>
          </w:p>
        </w:tc>
        <w:tc>
          <w:tcPr>
            <w:tcW w:type="dxa" w:w="3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Visual deluxe kiosk</w:t>
            </w:r>
          </w:p>
        </w:tc>
      </w:tr>
      <w:tr>
        <w:tc>
          <w:tcPr>
            <w:tcW w:type="dxa" w:w="28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site/assets/style.css</w:t>
            </w:r>
          </w:p>
        </w:tc>
        <w:tc>
          <w:tcPr>
            <w:tcW w:type="dxa" w:w="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v1.2</w:t>
            </w:r>
          </w:p>
        </w:tc>
        <w:tc>
          <w:tcPr>
            <w:tcW w:type="dxa" w:w="22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edd1371c81eb52d8</w:t>
            </w:r>
          </w:p>
        </w:tc>
        <w:tc>
          <w:tcPr>
            <w:tcW w:type="dxa" w:w="3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Shared styles (adds Quality pill for NFR rows)</w:t>
            </w:r>
          </w:p>
        </w:tc>
      </w:tr>
      <w:tr>
        <w:tc>
          <w:tcPr>
            <w:tcW w:type="dxa" w:w="28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site/assets/shelly.svg</w:t>
            </w:r>
          </w:p>
        </w:tc>
        <w:tc>
          <w:tcPr>
            <w:tcW w:type="dxa" w:w="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v1.0</w:t>
            </w:r>
          </w:p>
        </w:tc>
        <w:tc>
          <w:tcPr>
            <w:tcW w:type="dxa" w:w="2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fc1ee12fb4224a83</w:t>
            </w:r>
          </w:p>
        </w:tc>
        <w:tc>
          <w:tcPr>
            <w:tcW w:type="dxa" w:w="3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Mascot (carries C2PA content credentials)</w:t>
            </w:r>
          </w:p>
        </w:tc>
      </w:tr>
      <w:tr>
        <w:tc>
          <w:tcPr>
            <w:tcW w:type="dxa" w:w="28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site/CNAME</w:t>
            </w:r>
          </w:p>
        </w:tc>
        <w:tc>
          <w:tcPr>
            <w:tcW w:type="dxa" w:w="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w:t>
            </w:r>
          </w:p>
        </w:tc>
        <w:tc>
          <w:tcPr>
            <w:tcW w:type="dxa" w:w="22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pizza.locbee.ai</w:t>
            </w:r>
          </w:p>
        </w:tc>
        <w:tc>
          <w:tcPr>
            <w:tcW w:type="dxa" w:w="3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Custom hostname</w:t>
            </w:r>
          </w:p>
        </w:tc>
      </w:tr>
      <w:tr>
        <w:tc>
          <w:tcPr>
            <w:tcW w:type="dxa" w:w="28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site/_headers</w:t>
            </w:r>
          </w:p>
        </w:tc>
        <w:tc>
          <w:tcPr>
            <w:tcW w:type="dxa" w:w="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v1.2</w:t>
            </w:r>
          </w:p>
        </w:tc>
        <w:tc>
          <w:tcPr>
            <w:tcW w:type="dxa" w:w="2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217e67a74e013463</w:t>
            </w:r>
          </w:p>
        </w:tc>
        <w:tc>
          <w:tcPr>
            <w:tcW w:type="dxa" w:w="3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Security response headers (NFR-06)</w:t>
            </w:r>
          </w:p>
        </w:tc>
      </w:tr>
      <w:tr>
        <w:tc>
          <w:tcPr>
            <w:tcW w:type="dxa" w:w="28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docs/*.docx</w:t>
            </w:r>
          </w:p>
        </w:tc>
        <w:tc>
          <w:tcPr>
            <w:tcW w:type="dxa" w:w="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v1.2</w:t>
            </w:r>
          </w:p>
        </w:tc>
        <w:tc>
          <w:tcPr>
            <w:tcW w:type="dxa" w:w="22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not hashed — see note</w:t>
            </w:r>
          </w:p>
        </w:tc>
        <w:tc>
          <w:tcPr>
            <w:tcW w:type="dxa" w:w="3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BRS, RACI, RTM, TSR, this report</w:t>
            </w:r>
          </w:p>
        </w:tc>
      </w:tr>
    </w:tbl>
    <w:p>
      <w:pPr>
        <w:spacing w:after="120"/>
      </w:pPr>
    </w:p>
    <w:p>
      <w:pPr>
        <w:pStyle w:val="Heading2"/>
      </w:pPr>
      <w:r>
        <w:t xml:space="preserve">2.2 Two notes on the manifest</w:t>
      </w:r>
    </w:p>
    <w:p>
      <w:pPr>
        <w:pStyle w:val="ListParagraph"/>
        <w:numPr>
          <w:ilvl w:val="0"/>
          <w:numId w:val="2"/>
        </w:numPr>
        <w:spacing w:after="60"/>
      </w:pPr>
      <w:r>
        <w:t xml:space="preserve">The .docx files are deliberately not hashed. They are generated by build_docs.js, and the generator stamps the build time into the file, so running the build twice on unchanged source produces two different hashes. A checksum that changes when nothing changed is worse than no checksum, because it trains people to ignore it. Only the hand-written source files — the Python, the HTML, the CSS and the mascot — are hashed, and those are stable. Making a build produce identical output every time is called a reproducible build, and it is a real engineering goal, just not one worth solving for a school project.</w:t>
      </w:r>
    </w:p>
    <w:p>
      <w:pPr>
        <w:pStyle w:val="ListParagraph"/>
        <w:numPr>
          <w:ilvl w:val="0"/>
          <w:numId w:val="2"/>
        </w:numPr>
        <w:spacing w:after="60"/>
      </w:pPr>
      <w:r>
        <w:t xml:space="preserve">site/assets/shelly.svg carries an embedded C2PA content-credential manifest, which is why the file is about 11 KB rather than the 3 KB the drawing itself needs. C2PA is an industry standard for recording how an image was made, including whether AI was involved. It has been left in place on purpose: the honest thing is to ship the provenance with the artwork rather than strip it, and the extra bytes cost nothing at this size. An earlier version of this manifest recorded the hash of a copy with that metadata removed, which is corrected here.</w:t>
      </w:r>
    </w:p>
    <w:p>
      <w:pPr>
        <w:pStyle w:val="Heading1"/>
      </w:pPr>
      <w:r>
        <w:t xml:space="preserve">3. Pre-commissioning checklist</w:t>
      </w:r>
    </w:p>
    <w:p>
      <w:pPr>
        <w:spacing w:after="120"/>
      </w:pPr>
      <w:r>
        <w:t xml:space="preserve">Completed before deployment. Two items can only be closed by the Sponsor at sign-off.</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900"/>
        <w:gridCol w:w="4200"/>
        <w:gridCol w:w="3600"/>
        <w:gridCol w:w="1100"/>
      </w:tblGrid>
      <w:tr>
        <w:trPr>
          <w:tblHeader/>
        </w:trPr>
        <w:tc>
          <w:tcPr>
            <w:tcW w:type="dxa" w:w="9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left"/>
            </w:pPr>
            <w:r>
              <w:rPr>
                <w:b/>
                <w:bCs/>
                <w:color w:val="FFFFFF"/>
                <w:sz w:val="20"/>
                <w:szCs w:val="20"/>
              </w:rPr>
              <w:t xml:space="preserve">#</w:t>
            </w:r>
          </w:p>
        </w:tc>
        <w:tc>
          <w:tcPr>
            <w:tcW w:type="dxa" w:w="42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left"/>
            </w:pPr>
            <w:r>
              <w:rPr>
                <w:b/>
                <w:bCs/>
                <w:color w:val="FFFFFF"/>
                <w:sz w:val="20"/>
                <w:szCs w:val="20"/>
              </w:rPr>
              <w:t xml:space="preserve">Check</w:t>
            </w:r>
          </w:p>
        </w:tc>
        <w:tc>
          <w:tcPr>
            <w:tcW w:type="dxa" w:w="36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left"/>
            </w:pPr>
            <w:r>
              <w:rPr>
                <w:b/>
                <w:bCs/>
                <w:color w:val="FFFFFF"/>
                <w:sz w:val="20"/>
                <w:szCs w:val="20"/>
              </w:rPr>
              <w:t xml:space="preserve">Evidence</w:t>
            </w:r>
          </w:p>
        </w:tc>
        <w:tc>
          <w:tcPr>
            <w:tcW w:type="dxa" w:w="11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center"/>
            </w:pPr>
            <w:r>
              <w:rPr>
                <w:b/>
                <w:bCs/>
                <w:color w:val="FFFFFF"/>
                <w:sz w:val="20"/>
                <w:szCs w:val="20"/>
              </w:rPr>
              <w:t xml:space="preserve">Done</w:t>
            </w:r>
          </w:p>
        </w:tc>
      </w:tr>
      <w:tr>
        <w:tc>
          <w:tcPr>
            <w:tcW w:type="dxa" w:w="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P-1</w:t>
            </w:r>
          </w:p>
        </w:tc>
        <w:tc>
          <w:tcPr>
            <w:tcW w:type="dxa" w:w="4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All Must requirements pass (TSR §1)</w:t>
            </w:r>
          </w:p>
        </w:tc>
        <w:tc>
          <w:tcPr>
            <w:tcW w:type="dxa" w:w="3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Complete — 15/15 tests pass, 0 defects</w:t>
            </w:r>
          </w:p>
        </w:tc>
        <w:tc>
          <w:tcPr>
            <w:tcW w:type="dxa" w:w="11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center"/>
            </w:pPr>
            <w:r>
              <w:rPr>
                <w:sz w:val="20"/>
                <w:szCs w:val="20"/>
              </w:rPr>
              <w:t xml:space="preserve">✔</w:t>
            </w:r>
          </w:p>
        </w:tc>
      </w:tr>
      <w:tr>
        <w:tc>
          <w:tcPr>
            <w:tcW w:type="dxa" w:w="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P-2</w:t>
            </w:r>
          </w:p>
        </w:tc>
        <w:tc>
          <w:tcPr>
            <w:tcW w:type="dxa" w:w="42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RTM shows every requirement traced and passed</w:t>
            </w:r>
          </w:p>
        </w:tc>
        <w:tc>
          <w:tcPr>
            <w:tcW w:type="dxa" w:w="36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Complete — 28/28</w:t>
            </w:r>
          </w:p>
        </w:tc>
        <w:tc>
          <w:tcPr>
            <w:tcW w:type="dxa" w:w="11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center"/>
            </w:pPr>
            <w:r>
              <w:rPr>
                <w:sz w:val="20"/>
                <w:szCs w:val="20"/>
              </w:rPr>
              <w:t xml:space="preserve">✔</w:t>
            </w:r>
          </w:p>
        </w:tc>
      </w:tr>
      <w:tr>
        <w:tc>
          <w:tcPr>
            <w:tcW w:type="dxa" w:w="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P-3</w:t>
            </w:r>
          </w:p>
        </w:tc>
        <w:tc>
          <w:tcPr>
            <w:tcW w:type="dxa" w:w="4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v1.0 files unchanged since TSR run (checksums above match)</w:t>
            </w:r>
          </w:p>
        </w:tc>
        <w:tc>
          <w:tcPr>
            <w:tcW w:type="dxa" w:w="3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Complete — pizza_bot.py, pizza_turtle.py and kiosk.html all still hash to their §2.1 values, checked on both the Windows PC and the build environment, 9 Sep 2026</w:t>
            </w:r>
          </w:p>
        </w:tc>
        <w:tc>
          <w:tcPr>
            <w:tcW w:type="dxa" w:w="11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center"/>
            </w:pPr>
            <w:r>
              <w:rPr>
                <w:sz w:val="20"/>
                <w:szCs w:val="20"/>
              </w:rPr>
              <w:t xml:space="preserve">✔</w:t>
            </w:r>
          </w:p>
        </w:tc>
      </w:tr>
      <w:tr>
        <w:tc>
          <w:tcPr>
            <w:tcW w:type="dxa" w:w="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P-4</w:t>
            </w:r>
          </w:p>
        </w:tc>
        <w:tc>
          <w:tcPr>
            <w:tcW w:type="dxa" w:w="42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Site is fully static — no server code, no secrets</w:t>
            </w:r>
          </w:p>
        </w:tc>
        <w:tc>
          <w:tcPr>
            <w:tcW w:type="dxa" w:w="36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Complete — HTML/CSS/JS only</w:t>
            </w:r>
          </w:p>
        </w:tc>
        <w:tc>
          <w:tcPr>
            <w:tcW w:type="dxa" w:w="11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center"/>
            </w:pPr>
            <w:r>
              <w:rPr>
                <w:sz w:val="20"/>
                <w:szCs w:val="20"/>
              </w:rPr>
              <w:t xml:space="preserve">✔</w:t>
            </w:r>
          </w:p>
        </w:tc>
      </w:tr>
      <w:tr>
        <w:tc>
          <w:tcPr>
            <w:tcW w:type="dxa" w:w="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P-5</w:t>
            </w:r>
          </w:p>
        </w:tc>
        <w:tc>
          <w:tcPr>
            <w:tcW w:type="dxa" w:w="4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Third-party dependencies identified</w:t>
            </w:r>
          </w:p>
        </w:tc>
        <w:tc>
          <w:tcPr>
            <w:tcW w:type="dxa" w:w="3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Complete — Google Fonts, cdnjs highlight.js (cosmetic; site works without them)</w:t>
            </w:r>
          </w:p>
        </w:tc>
        <w:tc>
          <w:tcPr>
            <w:tcW w:type="dxa" w:w="11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center"/>
            </w:pPr>
            <w:r>
              <w:rPr>
                <w:sz w:val="20"/>
                <w:szCs w:val="20"/>
              </w:rPr>
              <w:t xml:space="preserve">✔</w:t>
            </w:r>
          </w:p>
        </w:tc>
      </w:tr>
      <w:tr>
        <w:tc>
          <w:tcPr>
            <w:tcW w:type="dxa" w:w="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P-6</w:t>
            </w:r>
          </w:p>
        </w:tc>
        <w:tc>
          <w:tcPr>
            <w:tcW w:type="dxa" w:w="42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Rollback method documented</w:t>
            </w:r>
          </w:p>
        </w:tc>
        <w:tc>
          <w:tcPr>
            <w:tcW w:type="dxa" w:w="36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Complete — Cloudflare Deployments → Rollback (Deployment Guide)</w:t>
            </w:r>
          </w:p>
        </w:tc>
        <w:tc>
          <w:tcPr>
            <w:tcW w:type="dxa" w:w="11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center"/>
            </w:pPr>
            <w:r>
              <w:rPr>
                <w:sz w:val="20"/>
                <w:szCs w:val="20"/>
              </w:rPr>
              <w:t xml:space="preserve">✔</w:t>
            </w:r>
          </w:p>
        </w:tc>
      </w:tr>
      <w:tr>
        <w:tc>
          <w:tcPr>
            <w:tcW w:type="dxa" w:w="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P-7</w:t>
            </w:r>
          </w:p>
        </w:tc>
        <w:tc>
          <w:tcPr>
            <w:tcW w:type="dxa" w:w="4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Hostname agreed</w:t>
            </w:r>
          </w:p>
        </w:tc>
        <w:tc>
          <w:tcPr>
            <w:tcW w:type="dxa" w:w="3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Assumed pizza.locbee.ai — confirm at sign-off</w:t>
            </w:r>
          </w:p>
        </w:tc>
        <w:tc>
          <w:tcPr>
            <w:tcW w:type="dxa" w:w="11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center"/>
            </w:pPr>
            <w:r>
              <w:rPr>
                <w:sz w:val="20"/>
                <w:szCs w:val="20"/>
              </w:rPr>
              <w:t xml:space="preserve">☐</w:t>
            </w:r>
          </w:p>
        </w:tc>
      </w:tr>
      <w:tr>
        <w:tc>
          <w:tcPr>
            <w:tcW w:type="dxa" w:w="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P-8</w:t>
            </w:r>
          </w:p>
        </w:tc>
        <w:tc>
          <w:tcPr>
            <w:tcW w:type="dxa" w:w="42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DNS ownership confirmed (locbee.ai zone on Cloudflare, or CNAME added at registrar)</w:t>
            </w:r>
          </w:p>
        </w:tc>
        <w:tc>
          <w:tcPr>
            <w:tcW w:type="dxa" w:w="36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To confirm at deployment</w:t>
            </w:r>
          </w:p>
        </w:tc>
        <w:tc>
          <w:tcPr>
            <w:tcW w:type="dxa" w:w="11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center"/>
            </w:pPr>
            <w:r>
              <w:rPr>
                <w:sz w:val="20"/>
                <w:szCs w:val="20"/>
              </w:rPr>
              <w:t xml:space="preserve">☐</w:t>
            </w:r>
          </w:p>
        </w:tc>
      </w:tr>
      <w:tr>
        <w:tc>
          <w:tcPr>
            <w:tcW w:type="dxa" w:w="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P-9</w:t>
            </w:r>
          </w:p>
        </w:tc>
        <w:tc>
          <w:tcPr>
            <w:tcW w:type="dxa" w:w="4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Security review complete against NFR-06 (section 5)</w:t>
            </w:r>
          </w:p>
        </w:tc>
        <w:tc>
          <w:tcPr>
            <w:tcW w:type="dxa" w:w="3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Complete — TC-15 passed 10/10; headers added and re-tested; CDN integrity finding accepted by the Sponsor (§5.2)</w:t>
            </w:r>
          </w:p>
        </w:tc>
        <w:tc>
          <w:tcPr>
            <w:tcW w:type="dxa" w:w="11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center"/>
            </w:pPr>
            <w:r>
              <w:rPr>
                <w:sz w:val="20"/>
                <w:szCs w:val="20"/>
              </w:rPr>
              <w:t xml:space="preserve">✔</w:t>
            </w:r>
          </w:p>
        </w:tc>
      </w:tr>
    </w:tbl>
    <w:p>
      <w:pPr>
        <w:spacing w:after="120"/>
      </w:pPr>
    </w:p>
    <w:p>
      <w:pPr>
        <w:pStyle w:val="Heading1"/>
      </w:pPr>
      <w:r>
        <w:t xml:space="preserve">4. Site commissioning tests — complete on go-live day</w:t>
      </w:r>
    </w:p>
    <w:p>
      <w:pPr>
        <w:spacing w:after="120"/>
      </w:pPr>
      <w:r>
        <w:t xml:space="preserve">Run in order after the Cloudflare deployment. Write the actual result and initial each line. C-1 to C-5 are blocking: a fail on any of them means No-Go and rollback. C-6 to C-12 are recorded but do not block.</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800"/>
        <w:gridCol w:w="3600"/>
        <w:gridCol w:w="2900"/>
        <w:gridCol w:w="1300"/>
        <w:gridCol w:w="1200"/>
      </w:tblGrid>
      <w:tr>
        <w:trPr>
          <w:tblHeader/>
        </w:trPr>
        <w:tc>
          <w:tcPr>
            <w:tcW w:type="dxa" w:w="8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left"/>
            </w:pPr>
            <w:r>
              <w:rPr>
                <w:b/>
                <w:bCs/>
                <w:color w:val="FFFFFF"/>
                <w:sz w:val="20"/>
                <w:szCs w:val="20"/>
              </w:rPr>
              <w:t xml:space="preserve">#</w:t>
            </w:r>
          </w:p>
        </w:tc>
        <w:tc>
          <w:tcPr>
            <w:tcW w:type="dxa" w:w="36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left"/>
            </w:pPr>
            <w:r>
              <w:rPr>
                <w:b/>
                <w:bCs/>
                <w:color w:val="FFFFFF"/>
                <w:sz w:val="20"/>
                <w:szCs w:val="20"/>
              </w:rPr>
              <w:t xml:space="preserve">Test</w:t>
            </w:r>
          </w:p>
        </w:tc>
        <w:tc>
          <w:tcPr>
            <w:tcW w:type="dxa" w:w="29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left"/>
            </w:pPr>
            <w:r>
              <w:rPr>
                <w:b/>
                <w:bCs/>
                <w:color w:val="FFFFFF"/>
                <w:sz w:val="20"/>
                <w:szCs w:val="20"/>
              </w:rPr>
              <w:t xml:space="preserve">Pass criteria</w:t>
            </w:r>
          </w:p>
        </w:tc>
        <w:tc>
          <w:tcPr>
            <w:tcW w:type="dxa" w:w="13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left"/>
            </w:pPr>
            <w:r>
              <w:rPr>
                <w:b/>
                <w:bCs/>
                <w:color w:val="FFFFFF"/>
                <w:sz w:val="20"/>
                <w:szCs w:val="20"/>
              </w:rPr>
              <w:t xml:space="preserve">Actual result</w:t>
            </w:r>
          </w:p>
        </w:tc>
        <w:tc>
          <w:tcPr>
            <w:tcW w:type="dxa" w:w="12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center"/>
            </w:pPr>
            <w:r>
              <w:rPr>
                <w:b/>
                <w:bCs/>
                <w:color w:val="FFFFFF"/>
                <w:sz w:val="20"/>
                <w:szCs w:val="20"/>
              </w:rPr>
              <w:t xml:space="preserve">Initials</w:t>
            </w:r>
          </w:p>
        </w:tc>
      </w:tr>
      <w:tr>
        <w:tc>
          <w:tcPr>
            <w:tcW w:type="dxa" w:w="8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C-1</w:t>
            </w:r>
          </w:p>
        </w:tc>
        <w:tc>
          <w:tcPr>
            <w:tcW w:type="dxa" w:w="3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Deployment completes without error</w:t>
            </w:r>
          </w:p>
        </w:tc>
        <w:tc>
          <w:tcPr>
            <w:tcW w:type="dxa" w:w="2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Cloudflare shows deployment status Success</w:t>
            </w:r>
          </w:p>
        </w:tc>
        <w:tc>
          <w:tcPr>
            <w:tcW w:type="dxa" w:w="13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
            </w:r>
          </w:p>
        </w:tc>
        <w:tc>
          <w:tcPr>
            <w:tcW w:type="dxa" w:w="1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center"/>
            </w:pPr>
            <w:r>
              <w:rPr>
                <w:sz w:val="20"/>
                <w:szCs w:val="20"/>
              </w:rPr>
              <w:t xml:space="preserve"/>
            </w:r>
          </w:p>
        </w:tc>
      </w:tr>
      <w:tr>
        <w:tc>
          <w:tcPr>
            <w:tcW w:type="dxa" w:w="8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C-2</w:t>
            </w:r>
          </w:p>
        </w:tc>
        <w:tc>
          <w:tcPr>
            <w:tcW w:type="dxa" w:w="36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https://pizza.locbee.ai resolves and serves index.html over TLS</w:t>
            </w:r>
          </w:p>
        </w:tc>
        <w:tc>
          <w:tcPr>
            <w:tcW w:type="dxa" w:w="2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Padlock, no certificate warning, Shelly visible in hero</w:t>
            </w:r>
          </w:p>
        </w:tc>
        <w:tc>
          <w:tcPr>
            <w:tcW w:type="dxa" w:w="13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
            </w:r>
          </w:p>
        </w:tc>
        <w:tc>
          <w:tcPr>
            <w:tcW w:type="dxa" w:w="12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center"/>
            </w:pPr>
            <w:r>
              <w:rPr>
                <w:sz w:val="20"/>
                <w:szCs w:val="20"/>
              </w:rPr>
              <w:t xml:space="preserve"/>
            </w:r>
          </w:p>
        </w:tc>
      </w:tr>
      <w:tr>
        <w:tc>
          <w:tcPr>
            <w:tcW w:type="dxa" w:w="8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C-3</w:t>
            </w:r>
          </w:p>
        </w:tc>
        <w:tc>
          <w:tcPr>
            <w:tcW w:type="dxa" w:w="3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HTTP redirects to HTTPS</w:t>
            </w:r>
          </w:p>
        </w:tc>
        <w:tc>
          <w:tcPr>
            <w:tcW w:type="dxa" w:w="2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http://pizza.locbee.ai → https://</w:t>
            </w:r>
          </w:p>
        </w:tc>
        <w:tc>
          <w:tcPr>
            <w:tcW w:type="dxa" w:w="13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
            </w:r>
          </w:p>
        </w:tc>
        <w:tc>
          <w:tcPr>
            <w:tcW w:type="dxa" w:w="1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center"/>
            </w:pPr>
            <w:r>
              <w:rPr>
                <w:sz w:val="20"/>
                <w:szCs w:val="20"/>
              </w:rPr>
              <w:t xml:space="preserve"/>
            </w:r>
          </w:p>
        </w:tc>
      </w:tr>
      <w:tr>
        <w:tc>
          <w:tcPr>
            <w:tcW w:type="dxa" w:w="8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C-4</w:t>
            </w:r>
          </w:p>
        </w:tc>
        <w:tc>
          <w:tcPr>
            <w:tcW w:type="dxa" w:w="36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kiosk.html — TC-1 Sarah case</w:t>
            </w:r>
          </w:p>
        </w:tc>
        <w:tc>
          <w:tcPr>
            <w:tcW w:type="dxa" w:w="2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Total $15</w:t>
            </w:r>
          </w:p>
        </w:tc>
        <w:tc>
          <w:tcPr>
            <w:tcW w:type="dxa" w:w="13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
            </w:r>
          </w:p>
        </w:tc>
        <w:tc>
          <w:tcPr>
            <w:tcW w:type="dxa" w:w="12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center"/>
            </w:pPr>
            <w:r>
              <w:rPr>
                <w:sz w:val="20"/>
                <w:szCs w:val="20"/>
              </w:rPr>
              <w:t xml:space="preserve"/>
            </w:r>
          </w:p>
        </w:tc>
      </w:tr>
      <w:tr>
        <w:tc>
          <w:tcPr>
            <w:tcW w:type="dxa" w:w="8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C-5</w:t>
            </w:r>
          </w:p>
        </w:tc>
        <w:tc>
          <w:tcPr>
            <w:tcW w:type="dxa" w:w="3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enhanced.html — TC-8 Max case</w:t>
            </w:r>
          </w:p>
        </w:tc>
        <w:tc>
          <w:tcPr>
            <w:tcW w:type="dxa" w:w="2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Total $34</w:t>
            </w:r>
          </w:p>
        </w:tc>
        <w:tc>
          <w:tcPr>
            <w:tcW w:type="dxa" w:w="13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
            </w:r>
          </w:p>
        </w:tc>
        <w:tc>
          <w:tcPr>
            <w:tcW w:type="dxa" w:w="1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center"/>
            </w:pPr>
            <w:r>
              <w:rPr>
                <w:sz w:val="20"/>
                <w:szCs w:val="20"/>
              </w:rPr>
              <w:t xml:space="preserve"/>
            </w:r>
          </w:p>
        </w:tc>
      </w:tr>
      <w:tr>
        <w:tc>
          <w:tcPr>
            <w:tcW w:type="dxa" w:w="8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C-6</w:t>
            </w:r>
          </w:p>
        </w:tc>
        <w:tc>
          <w:tcPr>
            <w:tcW w:type="dxa" w:w="36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enhanced.html — order appears in Order log and survives a reload</w:t>
            </w:r>
          </w:p>
        </w:tc>
        <w:tc>
          <w:tcPr>
            <w:tcW w:type="dxa" w:w="2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Row present after F5</w:t>
            </w:r>
          </w:p>
        </w:tc>
        <w:tc>
          <w:tcPr>
            <w:tcW w:type="dxa" w:w="13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
            </w:r>
          </w:p>
        </w:tc>
        <w:tc>
          <w:tcPr>
            <w:tcW w:type="dxa" w:w="12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center"/>
            </w:pPr>
            <w:r>
              <w:rPr>
                <w:sz w:val="20"/>
                <w:szCs w:val="20"/>
              </w:rPr>
              <w:t xml:space="preserve"/>
            </w:r>
          </w:p>
        </w:tc>
      </w:tr>
      <w:tr>
        <w:tc>
          <w:tcPr>
            <w:tcW w:type="dxa" w:w="8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C-7</w:t>
            </w:r>
          </w:p>
        </w:tc>
        <w:tc>
          <w:tcPr>
            <w:tcW w:type="dxa" w:w="3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enhanced.html — Email it / Text it open the device's app</w:t>
            </w:r>
          </w:p>
        </w:tc>
        <w:tc>
          <w:tcPr>
            <w:tcW w:type="dxa" w:w="2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App opens with receipt (tested on one PC and one phone)</w:t>
            </w:r>
          </w:p>
        </w:tc>
        <w:tc>
          <w:tcPr>
            <w:tcW w:type="dxa" w:w="13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
            </w:r>
          </w:p>
        </w:tc>
        <w:tc>
          <w:tcPr>
            <w:tcW w:type="dxa" w:w="1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center"/>
            </w:pPr>
            <w:r>
              <w:rPr>
                <w:sz w:val="20"/>
                <w:szCs w:val="20"/>
              </w:rPr>
              <w:t xml:space="preserve"/>
            </w:r>
          </w:p>
        </w:tc>
      </w:tr>
      <w:tr>
        <w:tc>
          <w:tcPr>
            <w:tcW w:type="dxa" w:w="8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C-8</w:t>
            </w:r>
          </w:p>
        </w:tc>
        <w:tc>
          <w:tcPr>
            <w:tcW w:type="dxa" w:w="36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All 10 download links on index.html open (3 × .py, 5 × .docx, 2 × .pdf)</w:t>
            </w:r>
          </w:p>
        </w:tc>
        <w:tc>
          <w:tcPr>
            <w:tcW w:type="dxa" w:w="2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No 404s</w:t>
            </w:r>
          </w:p>
        </w:tc>
        <w:tc>
          <w:tcPr>
            <w:tcW w:type="dxa" w:w="13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
            </w:r>
          </w:p>
        </w:tc>
        <w:tc>
          <w:tcPr>
            <w:tcW w:type="dxa" w:w="12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center"/>
            </w:pPr>
            <w:r>
              <w:rPr>
                <w:sz w:val="20"/>
                <w:szCs w:val="20"/>
              </w:rPr>
              <w:t xml:space="preserve"/>
            </w:r>
          </w:p>
        </w:tc>
      </w:tr>
      <w:tr>
        <w:tc>
          <w:tcPr>
            <w:tcW w:type="dxa" w:w="8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C-9</w:t>
            </w:r>
          </w:p>
        </w:tc>
        <w:tc>
          <w:tcPr>
            <w:tcW w:type="dxa" w:w="3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Fonts load (Baloo 2 headings) on a normal home connection</w:t>
            </w:r>
          </w:p>
        </w:tc>
        <w:tc>
          <w:tcPr>
            <w:tcW w:type="dxa" w:w="2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Rounded display face, not Arial — cosmetic, not a blocker</w:t>
            </w:r>
          </w:p>
        </w:tc>
        <w:tc>
          <w:tcPr>
            <w:tcW w:type="dxa" w:w="13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
            </w:r>
          </w:p>
        </w:tc>
        <w:tc>
          <w:tcPr>
            <w:tcW w:type="dxa" w:w="1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center"/>
            </w:pPr>
            <w:r>
              <w:rPr>
                <w:sz w:val="20"/>
                <w:szCs w:val="20"/>
              </w:rPr>
              <w:t xml:space="preserve"/>
            </w:r>
          </w:p>
        </w:tc>
      </w:tr>
      <w:tr>
        <w:tc>
          <w:tcPr>
            <w:tcW w:type="dxa" w:w="8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C-10</w:t>
            </w:r>
          </w:p>
        </w:tc>
        <w:tc>
          <w:tcPr>
            <w:tcW w:type="dxa" w:w="36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Mobile check — phone in portrait</w:t>
            </w:r>
          </w:p>
        </w:tc>
        <w:tc>
          <w:tcPr>
            <w:tcW w:type="dxa" w:w="2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Kiosk usable, no horizontal scroll, buttons tappable</w:t>
            </w:r>
          </w:p>
        </w:tc>
        <w:tc>
          <w:tcPr>
            <w:tcW w:type="dxa" w:w="13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
            </w:r>
          </w:p>
        </w:tc>
        <w:tc>
          <w:tcPr>
            <w:tcW w:type="dxa" w:w="12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center"/>
            </w:pPr>
            <w:r>
              <w:rPr>
                <w:sz w:val="20"/>
                <w:szCs w:val="20"/>
              </w:rPr>
              <w:t xml:space="preserve"/>
            </w:r>
          </w:p>
        </w:tc>
      </w:tr>
      <w:tr>
        <w:tc>
          <w:tcPr>
            <w:tcW w:type="dxa" w:w="8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C-11</w:t>
            </w:r>
          </w:p>
        </w:tc>
        <w:tc>
          <w:tcPr>
            <w:tcW w:type="dxa" w:w="3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Rollback drill — roll back to previous deployment, then forward again</w:t>
            </w:r>
          </w:p>
        </w:tc>
        <w:tc>
          <w:tcPr>
            <w:tcW w:type="dxa" w:w="2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Both directions take effect within 1 minute</w:t>
            </w:r>
          </w:p>
        </w:tc>
        <w:tc>
          <w:tcPr>
            <w:tcW w:type="dxa" w:w="13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
            </w:r>
          </w:p>
        </w:tc>
        <w:tc>
          <w:tcPr>
            <w:tcW w:type="dxa" w:w="1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center"/>
            </w:pPr>
            <w:r>
              <w:rPr>
                <w:sz w:val="20"/>
                <w:szCs w:val="20"/>
              </w:rPr>
              <w:t xml:space="preserve"/>
            </w:r>
          </w:p>
        </w:tc>
      </w:tr>
      <w:tr>
        <w:tc>
          <w:tcPr>
            <w:tcW w:type="dxa" w:w="8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C-12</w:t>
            </w:r>
          </w:p>
        </w:tc>
        <w:tc>
          <w:tcPr>
            <w:tcW w:type="dxa" w:w="36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pizza_bot.py runs on the Student's PC from a fresh download of site/downloads/pizza_bot.py</w:t>
            </w:r>
          </w:p>
        </w:tc>
        <w:tc>
          <w:tcPr>
            <w:tcW w:type="dxa" w:w="2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Sarah case → $15; last_order.json written</w:t>
            </w:r>
          </w:p>
        </w:tc>
        <w:tc>
          <w:tcPr>
            <w:tcW w:type="dxa" w:w="13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
            </w:r>
          </w:p>
        </w:tc>
        <w:tc>
          <w:tcPr>
            <w:tcW w:type="dxa" w:w="12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center"/>
            </w:pPr>
            <w:r>
              <w:rPr>
                <w:sz w:val="20"/>
                <w:szCs w:val="20"/>
              </w:rPr>
              <w:t xml:space="preserve"/>
            </w:r>
          </w:p>
        </w:tc>
      </w:tr>
      <w:tr>
        <w:tc>
          <w:tcPr>
            <w:tcW w:type="dxa" w:w="8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C-13</w:t>
            </w:r>
          </w:p>
        </w:tc>
        <w:tc>
          <w:tcPr>
            <w:tcW w:type="dxa" w:w="3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deluxe.html — v1.2 visual experience</w:t>
            </w:r>
          </w:p>
        </w:tc>
        <w:tc>
          <w:tcPr>
            <w:tcW w:type="dxa" w:w="2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Loads; order flow runs; canvas pizza animates through six stages (dough→sauce→cheese→toppings→bake→peel); Shelly reacts; receipt prints; order logs</w:t>
            </w:r>
          </w:p>
        </w:tc>
        <w:tc>
          <w:tcPr>
            <w:tcW w:type="dxa" w:w="13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
            </w:r>
          </w:p>
        </w:tc>
        <w:tc>
          <w:tcPr>
            <w:tcW w:type="dxa" w:w="1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center"/>
            </w:pPr>
            <w:r>
              <w:rPr>
                <w:sz w:val="20"/>
                <w:szCs w:val="20"/>
              </w:rPr>
              <w:t xml:space="preserve"/>
            </w:r>
          </w:p>
        </w:tc>
      </w:tr>
      <w:tr>
        <w:tc>
          <w:tcPr>
            <w:tcW w:type="dxa" w:w="8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C-14</w:t>
            </w:r>
          </w:p>
        </w:tc>
        <w:tc>
          <w:tcPr>
            <w:tcW w:type="dxa" w:w="36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Third-party script matches the accepted position (section 5.2) — highlight.js still loads from cdnjs with no integrity hash, and no invented hash has been added</w:t>
            </w:r>
          </w:p>
        </w:tc>
        <w:tc>
          <w:tcPr>
            <w:tcW w:type="dxa" w:w="2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State matches what the Sponsor accepted; showcase page renders with or without the library</w:t>
            </w:r>
          </w:p>
        </w:tc>
        <w:tc>
          <w:tcPr>
            <w:tcW w:type="dxa" w:w="13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
            </w:r>
          </w:p>
        </w:tc>
        <w:tc>
          <w:tcPr>
            <w:tcW w:type="dxa" w:w="12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center"/>
            </w:pPr>
            <w:r>
              <w:rPr>
                <w:sz w:val="20"/>
                <w:szCs w:val="20"/>
              </w:rPr>
              <w:t xml:space="preserve"/>
            </w:r>
          </w:p>
        </w:tc>
      </w:tr>
      <w:tr>
        <w:tc>
          <w:tcPr>
            <w:tcW w:type="dxa" w:w="8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C-15</w:t>
            </w:r>
          </w:p>
        </w:tc>
        <w:tc>
          <w:tcPr>
            <w:tcW w:type="dxa" w:w="3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Security headers live in production — check the response headers on https://pizza.locbee.ai</w:t>
            </w:r>
          </w:p>
        </w:tc>
        <w:tc>
          <w:tcPr>
            <w:tcW w:type="dxa" w:w="2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Content-Security-Policy plus nosniff, Referrer-Policy, X-Frame-Options, Permissions-Policy and Cross-Origin-Opener-Policy all present; the kiosks still complete an order</w:t>
            </w:r>
          </w:p>
        </w:tc>
        <w:tc>
          <w:tcPr>
            <w:tcW w:type="dxa" w:w="13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
            </w:r>
          </w:p>
        </w:tc>
        <w:tc>
          <w:tcPr>
            <w:tcW w:type="dxa" w:w="1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center"/>
            </w:pPr>
            <w:r>
              <w:rPr>
                <w:sz w:val="20"/>
                <w:szCs w:val="20"/>
              </w:rPr>
              <w:t xml:space="preserve"/>
            </w:r>
          </w:p>
        </w:tc>
      </w:tr>
    </w:tbl>
    <w:p>
      <w:pPr>
        <w:spacing w:after="120"/>
      </w:pPr>
    </w:p>
    <w:p>
      <w:pPr>
        <w:pStyle w:val="Heading1"/>
      </w:pPr>
      <w:r>
        <w:t xml:space="preserve">5. Security review</w:t>
      </w:r>
    </w:p>
    <w:p>
      <w:pPr>
        <w:spacing w:after="120"/>
      </w:pPr>
      <w:r>
        <w:t xml:space="preserve">Carried out on 9 September 2026 against NFR-06, before go-live rather than after. The finding that matters on a site like this is not theft — there is no login, no payment and no database — but whether one visitor can make something happen in another visitor's browser.</w:t>
      </w:r>
    </w:p>
    <w:p>
      <w:pPr>
        <w:pStyle w:val="Heading2"/>
      </w:pPr>
      <w:r>
        <w:t xml:space="preserve">5.1 What was checked, and what was found</w:t>
      </w:r>
    </w:p>
    <w:p>
      <w:pPr>
        <w:pStyle w:val="ListParagraph"/>
        <w:numPr>
          <w:ilvl w:val="0"/>
          <w:numId w:val="2"/>
        </w:numPr>
        <w:spacing w:after="60"/>
      </w:pPr>
      <w:r>
        <w:t xml:space="preserve">Injection through the customer name — PASS. The name is the only free text a stranger controls, and it is printed to the receipt, written to the order log, and read back out of that log on the next visit. Four attack strings were entered as names on both enhanced.html and deluxe.html and none executed; each appeared as ordinary text. A hostile record was also written directly into the browser's stored order log and the page reloaded, which reaches the rendering code without going through the input box at all. It did not execute either. Recorded as TC-15.</w:t>
      </w:r>
    </w:p>
    <w:p>
      <w:pPr>
        <w:pStyle w:val="ListParagraph"/>
        <w:numPr>
          <w:ilvl w:val="0"/>
          <w:numId w:val="2"/>
        </w:numPr>
        <w:spacing w:after="60"/>
      </w:pPr>
      <w:r>
        <w:t xml:space="preserve">Secrets in the files — PASS. The whole site and both Python scripts were searched for keys, tokens, passwords and private key blocks. There are none, which is expected of a static site with no server, and is worth re-checking whenever a new file is added.</w:t>
      </w:r>
    </w:p>
    <w:p>
      <w:pPr>
        <w:pStyle w:val="ListParagraph"/>
        <w:numPr>
          <w:ilvl w:val="0"/>
          <w:numId w:val="2"/>
        </w:numPr>
        <w:spacing w:after="60"/>
      </w:pPr>
      <w:r>
        <w:t xml:space="preserve">Security response headers — FIXED DURING REVIEW. The site previously shipped none. A site/_headers file now sets a Content-Security-Policy plus nosniff, Referrer-Policy, X-Frame-Options, Permissions-Policy and Cross-Origin-Opener-Policy. All four pages were re-tested under those exact headers and every one still loads and completes an order with zero policy violations, which matters because a content policy that breaks the thing it protects gets switched off within a week.</w:t>
      </w:r>
    </w:p>
    <w:p>
      <w:pPr>
        <w:pStyle w:val="ListParagraph"/>
        <w:numPr>
          <w:ilvl w:val="0"/>
          <w:numId w:val="2"/>
        </w:numPr>
        <w:spacing w:after="60"/>
      </w:pPr>
      <w:r>
        <w:t xml:space="preserve">Third-party code — OPEN, see 5.2. The showcase page loads one library (highlight.js) from a public CDN with no integrity check.</w:t>
      </w:r>
    </w:p>
    <w:p>
      <w:pPr>
        <w:pStyle w:val="ListParagraph"/>
        <w:numPr>
          <w:ilvl w:val="0"/>
          <w:numId w:val="2"/>
        </w:numPr>
        <w:spacing w:after="60"/>
      </w:pPr>
      <w:r>
        <w:t xml:space="preserve">Phone number field — FIXED DURING REVIEW. The Text it button built an sms: link from the typed number after stripping only spaces, so a ? or &amp; could have added extra parameters to that link. It now keeps digits and + and discards everything else. The impact was low, since the only person affected is the one typing, but it was inconsistent with the email path, which was already encoded properly.</w:t>
      </w:r>
    </w:p>
    <w:p>
      <w:pPr>
        <w:pStyle w:val="ListParagraph"/>
        <w:numPr>
          <w:ilvl w:val="0"/>
          <w:numId w:val="2"/>
        </w:numPr>
        <w:spacing w:after="60"/>
      </w:pPr>
      <w:r>
        <w:t xml:space="preserve">Stored data — ACCEPTED. The browser order log holds a first name, the order and a timestamp, on that device only, clearable by the person using it. No address, no phone number and no payment details are stored anywhere by the site.</w:t>
      </w:r>
    </w:p>
    <w:p>
      <w:pPr>
        <w:pStyle w:val="Heading2"/>
      </w:pPr>
      <w:r>
        <w:t xml:space="preserve">5.2 Third-party script — risk accepted by the Sponsor</w:t>
      </w:r>
    </w:p>
    <w:p>
      <w:pPr>
        <w:spacing w:after="120"/>
      </w:pPr>
      <w:r>
        <w:t xml:space="preserve">The showcase page loads highlight.js from cdnjs to colour the code samples. Depending on someone else's server means that if that server were ever tampered with, the tampered code would run here. The standard mitigation is Subresource Integrity: a hash on the script tag telling the browser to refuse the file unless it matches exactly. The two clean options were therefore to add a genuinely computed hash, or to delete the library, since a dependency you have removed cannot be compromised at all.</w:t>
      </w:r>
    </w:p>
    <w:p>
      <w:pPr>
        <w:spacing w:after="120"/>
      </w:pPr>
      <w:r>
        <w:t xml:space="preserve">The Project Sponsor has reviewed this and accepted the risk as it stands, which is a legitimate decision rather than an omission: the library is cosmetic, it affects only the showcase page and not any of the three kiosks, cdnjs is a widely used and reputable host, and the site holds nothing worth stealing. The RACI makes the Sponsor accountable for accepting residual security risk, and this is that decision being exercised.</w:t>
      </w:r>
    </w:p>
    <w:p>
      <w:pPr>
        <w:spacing w:after="120"/>
      </w:pPr>
      <w:r>
        <w:t xml:space="preserve">Two things are recorded so the acceptance stays honest. First, no integrity hash has been invented to paper over the gap — writing a hash that was not computed from the real file would be worse than having none, because it would look verified while being wrong. Second, the decision is not permanent: it should be revisited if the library is ever used on a page that takes user input, or if the project is handed to someone who did not take part in this review. Carried in the residual-risk register at section 6.</w:t>
      </w:r>
    </w:p>
    <w:p>
      <w:pPr>
        <w:spacing w:after="120"/>
      </w:pPr>
    </w:p>
    <w:p>
      <w:pPr>
        <w:pStyle w:val="Heading1"/>
      </w:pPr>
      <w:r>
        <w:t xml:space="preserve">6. Residual risks accepted at go-live</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3600"/>
        <w:gridCol w:w="4400"/>
        <w:gridCol w:w="1800"/>
      </w:tblGrid>
      <w:tr>
        <w:trPr>
          <w:tblHeader/>
        </w:trPr>
        <w:tc>
          <w:tcPr>
            <w:tcW w:type="dxa" w:w="36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left"/>
            </w:pPr>
            <w:r>
              <w:rPr>
                <w:b/>
                <w:bCs/>
                <w:color w:val="FFFFFF"/>
                <w:sz w:val="20"/>
                <w:szCs w:val="20"/>
              </w:rPr>
              <w:t xml:space="preserve">Risk</w:t>
            </w:r>
          </w:p>
        </w:tc>
        <w:tc>
          <w:tcPr>
            <w:tcW w:type="dxa" w:w="44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left"/>
            </w:pPr>
            <w:r>
              <w:rPr>
                <w:b/>
                <w:bCs/>
                <w:color w:val="FFFFFF"/>
                <w:sz w:val="20"/>
                <w:szCs w:val="20"/>
              </w:rPr>
              <w:t xml:space="preserve">Assessment</w:t>
            </w:r>
          </w:p>
        </w:tc>
        <w:tc>
          <w:tcPr>
            <w:tcW w:type="dxa" w:w="18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left"/>
            </w:pPr>
            <w:r>
              <w:rPr>
                <w:b/>
                <w:bCs/>
                <w:color w:val="FFFFFF"/>
                <w:sz w:val="20"/>
                <w:szCs w:val="20"/>
              </w:rPr>
              <w:t xml:space="preserve">Decision</w:t>
            </w:r>
          </w:p>
        </w:tc>
      </w:tr>
      <w:tr>
        <w:tc>
          <w:tcPr>
            <w:tcW w:type="dxa" w:w="3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Email/Text send nothing on a PC with no sms: handler</w:t>
            </w:r>
          </w:p>
        </w:tc>
        <w:tc>
          <w:tcPr>
            <w:tcW w:type="dxa" w:w="44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Low — cosmetic; works on phones. Documented in BRS §12.1</w:t>
            </w:r>
          </w:p>
        </w:tc>
        <w:tc>
          <w:tcPr>
            <w:tcW w:type="dxa" w:w="18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Accept</w:t>
            </w:r>
          </w:p>
        </w:tc>
      </w:tr>
      <w:tr>
        <w:tc>
          <w:tcPr>
            <w:tcW w:type="dxa" w:w="36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Web order log is per-browser and user-clearable</w:t>
            </w:r>
          </w:p>
        </w:tc>
        <w:tc>
          <w:tcPr>
            <w:tcW w:type="dxa" w:w="44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Low — orders.log in Python is the durable record</w:t>
            </w:r>
          </w:p>
        </w:tc>
        <w:tc>
          <w:tcPr>
            <w:tcW w:type="dxa" w:w="18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Accept</w:t>
            </w:r>
          </w:p>
        </w:tc>
      </w:tr>
      <w:tr>
        <w:tc>
          <w:tcPr>
            <w:tcW w:type="dxa" w:w="3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Google Fonts / cdnjs blocked on a school network</w:t>
            </w:r>
          </w:p>
        </w:tc>
        <w:tc>
          <w:tcPr>
            <w:tcW w:type="dxa" w:w="44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Low — pages fall back to system fonts and plain code</w:t>
            </w:r>
          </w:p>
        </w:tc>
        <w:tc>
          <w:tcPr>
            <w:tcW w:type="dxa" w:w="18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Accept</w:t>
            </w:r>
          </w:p>
        </w:tc>
      </w:tr>
      <w:tr>
        <w:tc>
          <w:tcPr>
            <w:tcW w:type="dxa" w:w="36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Teacher prefers the plain straight-line script over the validation helpers</w:t>
            </w:r>
          </w:p>
        </w:tc>
        <w:tc>
          <w:tcPr>
            <w:tcW w:type="dxa" w:w="44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Low — reasonable at Year 9; BRS §11 notes the fallback: strip helpers, TC-1 still passes</w:t>
            </w:r>
          </w:p>
        </w:tc>
        <w:tc>
          <w:tcPr>
            <w:tcW w:type="dxa" w:w="18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Accept</w:t>
            </w:r>
          </w:p>
        </w:tc>
      </w:tr>
      <w:tr>
        <w:tc>
          <w:tcPr>
            <w:tcW w:type="dxa" w:w="3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pizza.locbee.ai hostname not final</w:t>
            </w:r>
          </w:p>
        </w:tc>
        <w:tc>
          <w:tcPr>
            <w:tcW w:type="dxa" w:w="44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Low — one-line CNAME change and re-add custom domain</w:t>
            </w:r>
          </w:p>
        </w:tc>
        <w:tc>
          <w:tcPr>
            <w:tcW w:type="dxa" w:w="18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Confirm at sign-off</w:t>
            </w:r>
          </w:p>
        </w:tc>
      </w:tr>
      <w:tr>
        <w:tc>
          <w:tcPr>
            <w:tcW w:type="dxa" w:w="36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highlight.js loaded from a public CDN with no integrity hash</w:t>
            </w:r>
          </w:p>
        </w:tc>
        <w:tc>
          <w:tcPr>
            <w:tcW w:type="dxa" w:w="44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Low once scoped — cosmetic library, showcase page only, none of the three kiosks depend on it, and the site holds nothing worth stealing. If cdnjs were tampered with, that code would run here. Reasoning at §5.2</w:t>
            </w:r>
          </w:p>
        </w:tc>
        <w:tc>
          <w:tcPr>
            <w:tcW w:type="dxa" w:w="18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Accepted by the Sponsor, 9 Sep 2026. Revisit if the library is ever used on a page that takes user input</w:t>
            </w:r>
          </w:p>
        </w:tc>
      </w:tr>
      <w:tr>
        <w:tc>
          <w:tcPr>
            <w:tcW w:type="dxa" w:w="3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Content-Security-Policy allows 'unsafe-inline' for scripts</w:t>
            </w:r>
          </w:p>
        </w:tc>
        <w:tc>
          <w:tcPr>
            <w:tcW w:type="dxa" w:w="44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Low, knowingly accepted — every page keeps its JavaScript in one inline block so the site stays readable by opening a single file. Per-page script hashes would be stronger but break silently on every edit. Reasoning recorded in site/_headers</w:t>
            </w:r>
          </w:p>
        </w:tc>
        <w:tc>
          <w:tcPr>
            <w:tcW w:type="dxa" w:w="18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Accept</w:t>
            </w:r>
          </w:p>
        </w:tc>
      </w:tr>
    </w:tbl>
    <w:p>
      <w:pPr>
        <w:spacing w:after="120"/>
      </w:pPr>
    </w:p>
    <w:p>
      <w:pPr>
        <w:pStyle w:val="Heading1"/>
      </w:pPr>
      <w:r>
        <w:t xml:space="preserve">7. Handover</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2400"/>
        <w:gridCol w:w="7400"/>
      </w:tblGrid>
      <w:tr>
        <w:trPr>
          <w:tblHeader/>
        </w:trPr>
        <w:tc>
          <w:tcPr>
            <w:tcW w:type="dxa" w:w="24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left"/>
            </w:pPr>
            <w:r>
              <w:rPr>
                <w:b/>
                <w:bCs/>
                <w:color w:val="FFFFFF"/>
                <w:sz w:val="20"/>
                <w:szCs w:val="20"/>
              </w:rPr>
              <w:t xml:space="preserve">Item</w:t>
            </w:r>
          </w:p>
        </w:tc>
        <w:tc>
          <w:tcPr>
            <w:tcW w:type="dxa" w:w="74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left"/>
            </w:pPr>
            <w:r>
              <w:rPr>
                <w:b/>
                <w:bCs/>
                <w:color w:val="FFFFFF"/>
                <w:sz w:val="20"/>
                <w:szCs w:val="20"/>
              </w:rPr>
              <w:t xml:space="preserve">Detail</w:t>
            </w:r>
          </w:p>
        </w:tc>
      </w:tr>
      <w:tr>
        <w:tc>
          <w:tcPr>
            <w:tcW w:type="dxa" w:w="24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Source of truth</w:t>
            </w:r>
          </w:p>
        </w:tc>
        <w:tc>
          <w:tcPr>
            <w:tcW w:type="dxa" w:w="74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C:\Users\antho\OneDrive\Documents\Claude\Projects\Pizza (code/, docs/, site/)</w:t>
            </w:r>
          </w:p>
        </w:tc>
      </w:tr>
      <w:tr>
        <w:tc>
          <w:tcPr>
            <w:tcW w:type="dxa" w:w="24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Regenerate documents</w:t>
            </w:r>
          </w:p>
        </w:tc>
        <w:tc>
          <w:tcPr>
            <w:tcW w:type="dxa" w:w="74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cd docs &amp;&amp; node build_docs.js — updates BRS, RACI, RTM, TSR, Commissioning</w:t>
            </w:r>
          </w:p>
        </w:tc>
      </w:tr>
      <w:tr>
        <w:tc>
          <w:tcPr>
            <w:tcW w:type="dxa" w:w="24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Redeploy website</w:t>
            </w:r>
          </w:p>
        </w:tc>
        <w:tc>
          <w:tcPr>
            <w:tcW w:type="dxa" w:w="74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Deployment Guide — Option A (zip upload) or B (git push) — includes all three kiosks (kiosk.html, enhanced.html, deluxe.html)</w:t>
            </w:r>
          </w:p>
        </w:tc>
      </w:tr>
      <w:tr>
        <w:tc>
          <w:tcPr>
            <w:tcW w:type="dxa" w:w="24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Roll back website</w:t>
            </w:r>
          </w:p>
        </w:tc>
        <w:tc>
          <w:tcPr>
            <w:tcW w:type="dxa" w:w="74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Cloudflare → Workers &amp; Pages → pizza-kiosk → Deployments → pick previous → Rollback</w:t>
            </w:r>
          </w:p>
        </w:tc>
      </w:tr>
      <w:tr>
        <w:tc>
          <w:tcPr>
            <w:tcW w:type="dxa" w:w="24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Change a price</w:t>
            </w:r>
          </w:p>
        </w:tc>
        <w:tc>
          <w:tcPr>
            <w:tcW w:type="dxa" w:w="74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Python: PRICE_* constants at top of pizza_bot_enhanced.py. Web: PRICE object at top of kiosk.html, enhanced.html, and deluxe.html (three places). Update BRS §6 and rerun TC-7/8/9/12/13/15.</w:t>
            </w:r>
          </w:p>
        </w:tc>
      </w:tr>
      <w:tr>
        <w:tc>
          <w:tcPr>
            <w:tcW w:type="dxa" w:w="24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Support</w:t>
            </w:r>
          </w:p>
        </w:tc>
        <w:tc>
          <w:tcPr>
            <w:tcW w:type="dxa" w:w="74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Project Sponsor (first line); AI Pair-Programmer via the Build Pizza App project</w:t>
            </w:r>
          </w:p>
        </w:tc>
      </w:tr>
    </w:tbl>
    <w:p>
      <w:pPr>
        <w:spacing w:after="120"/>
      </w:pPr>
    </w:p>
    <w:p>
      <w:pPr>
        <w:pStyle w:val="Heading1"/>
      </w:pPr>
      <w:r>
        <w:t xml:space="preserve">8. Go / No-Go decision</w:t>
      </w:r>
    </w:p>
    <w:p>
      <w:pPr>
        <w:spacing w:after="120"/>
      </w:pPr>
      <w:r>
        <w:t xml:space="preserve">To be completed by the Project Sponsor after section 4.</w:t>
      </w:r>
    </w:p>
    <w:p>
      <w:pPr>
        <w:spacing w:after="100"/>
        <w:ind w:left="360"/>
      </w:pPr>
      <w:r>
        <w:rPr>
          <w:sz w:val="26"/>
          <w:szCs w:val="26"/>
        </w:rPr>
        <w:t xml:space="preserve">☐  </w:t>
      </w:r>
      <w:r>
        <w:t xml:space="preserve">GO — C-1 to C-5 passed; residual risks accepted; production sign-off below is complete.</w:t>
      </w:r>
    </w:p>
    <w:p>
      <w:pPr>
        <w:spacing w:after="100"/>
        <w:ind w:left="360"/>
      </w:pPr>
      <w:r>
        <w:rPr>
          <w:sz w:val="26"/>
          <w:szCs w:val="26"/>
        </w:rPr>
        <w:t xml:space="preserve">☐  </w:t>
      </w:r>
      <w:r>
        <w:t xml:space="preserve">NO-GO — rollback performed; reason recorded here: ______________________________________________</w:t>
      </w:r>
    </w:p>
    <w:p>
      <w:pPr>
        <w:spacing w:after="100"/>
        <w:ind w:left="360"/>
      </w:pPr>
      <w:r>
        <w:rPr>
          <w:sz w:val="26"/>
          <w:szCs w:val="26"/>
        </w:rPr>
        <w:t xml:space="preserve">☐  </w:t>
      </w:r>
      <w:r>
        <w:t xml:space="preserve">CONDITIONAL GO — live with the following items to be fixed by (date): ______________________________</w:t>
      </w:r>
    </w:p>
    <w:p>
      <w:pPr>
        <w:pStyle w:val="Heading2"/>
      </w:pPr>
      <w:r>
        <w:t xml:space="preserve">8.1 Builder's attestation</w:t>
      </w:r>
    </w:p>
    <w:p>
      <w:pPr>
        <w:spacing w:after="120"/>
      </w:pPr>
      <w:r>
        <w:t xml:space="preserve">AI Pair-Programmer (Claude), 9 September 2026: the as-built manifest in section 2.1 matches the files that passed testing. Everything that could be verified without a display or a live deployment was verified; the section 4 tests are for a person on the day. This is an attestation, not a stakeholder signature — the AI is not a stakeholder and does not sign off production.</w:t>
      </w:r>
    </w:p>
    <w:p>
      <w:r>
        <w:br w:type="page"/>
      </w:r>
    </w:p>
    <w:p>
      <w:pPr>
        <w:pStyle w:val="Heading1"/>
      </w:pPr>
      <w:r>
        <w:t xml:space="preserve">9. Production sign-off</w:t>
      </w:r>
    </w:p>
    <w:p>
      <w:pPr>
        <w:spacing w:after="120"/>
      </w:pPr>
      <w:r>
        <w:t xml:space="preserve">By signing, each stakeholder confirms the statement beside their role. A signature is a personal statement, not a formality — sign only if it is true.</w:t>
      </w:r>
    </w:p>
    <w:p>
      <w:pPr>
        <w:pBdr>
          <w:bottom w:val="single" w:color="C0392B" w:sz="6" w:space="8"/>
        </w:pBdr>
        <w:spacing w:after="240"/>
      </w:pPr>
      <w:r>
        <w:rPr>
          <w:b/>
          <w:bCs/>
        </w:rPr>
        <w:t xml:space="preserve">Production release date: ____ / ____ / 2026        Live URL confirmed: https://</w:t>
      </w:r>
      <w:r>
        <w:rPr>
          <w:b/>
          <w:bCs/>
        </w:rPr>
        <w:t xml:space="preserve">______________________</w:t>
      </w:r>
    </w:p>
    <w:p>
      <w:pPr>
        <w:pStyle w:val="Heading2"/>
      </w:pPr>
      <w:r>
        <w:t xml:space="preserve">Customer</w:t>
      </w:r>
    </w:p>
    <w:p>
      <w:pPr>
        <w:spacing w:after="120"/>
      </w:pPr>
      <w:r>
        <w:t xml:space="preserve">"The kiosk does what the brief asked for. Sarah's order comes to $15 and the summary is personalised. I accept pizza_bot.py as the deliverable."</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2600"/>
        <w:gridCol w:w="2600"/>
        <w:gridCol w:w="2600"/>
        <w:gridCol w:w="2000"/>
      </w:tblGrid>
      <w:tr>
        <w:tc>
          <w:tcPr>
            <w:tcW w:type="dxa" w:w="2600"/>
            <w:tcBorders>
              <w:top w:val="single" w:color="CCCCCC" w:sz="4"/>
              <w:left w:val="single" w:color="CCCCCC" w:sz="4"/>
              <w:bottom w:val="single" w:color="CCCCCC" w:sz="4"/>
              <w:right w:val="single" w:color="CCCCCC" w:sz="4"/>
            </w:tcBorders>
            <w:shd w:fill="FFF6E5" w:color="auto" w:val="clear"/>
            <w:tcMar>
              <w:top w:type="dxa" w:w="80"/>
              <w:left w:type="dxa" w:w="120"/>
              <w:bottom w:type="dxa" w:w="80"/>
              <w:right w:type="dxa" w:w="120"/>
            </w:tcMar>
            <w:vAlign w:val="center"/>
          </w:tcPr>
          <w:p>
            <w:pPr>
              <w:jc w:val="left"/>
            </w:pPr>
            <w:r>
              <w:rPr>
                <w:b/>
                <w:bCs/>
                <w:sz w:val="20"/>
                <w:szCs w:val="20"/>
              </w:rPr>
              <w:t xml:space="preserve">Role</w:t>
            </w:r>
          </w:p>
        </w:tc>
        <w:tc>
          <w:tcPr>
            <w:tcW w:type="dxa" w:w="2600"/>
            <w:tcBorders>
              <w:top w:val="single" w:color="CCCCCC" w:sz="4"/>
              <w:left w:val="single" w:color="CCCCCC" w:sz="4"/>
              <w:bottom w:val="single" w:color="CCCCCC" w:sz="4"/>
              <w:right w:val="single" w:color="CCCCCC" w:sz="4"/>
            </w:tcBorders>
            <w:shd w:fill="FFF6E5" w:color="auto" w:val="clear"/>
            <w:tcMar>
              <w:top w:type="dxa" w:w="80"/>
              <w:left w:type="dxa" w:w="120"/>
              <w:bottom w:type="dxa" w:w="80"/>
              <w:right w:type="dxa" w:w="120"/>
            </w:tcMar>
            <w:vAlign w:val="center"/>
          </w:tcPr>
          <w:p>
            <w:pPr>
              <w:jc w:val="left"/>
            </w:pPr>
            <w:r>
              <w:rPr>
                <w:b/>
                <w:bCs/>
                <w:sz w:val="20"/>
                <w:szCs w:val="20"/>
              </w:rPr>
              <w:t xml:space="preserve">Name</w:t>
            </w:r>
          </w:p>
        </w:tc>
        <w:tc>
          <w:tcPr>
            <w:tcW w:type="dxa" w:w="2600"/>
            <w:tcBorders>
              <w:top w:val="single" w:color="CCCCCC" w:sz="4"/>
              <w:left w:val="single" w:color="CCCCCC" w:sz="4"/>
              <w:bottom w:val="single" w:color="CCCCCC" w:sz="4"/>
              <w:right w:val="single" w:color="CCCCCC" w:sz="4"/>
            </w:tcBorders>
            <w:shd w:fill="FFF6E5" w:color="auto" w:val="clear"/>
            <w:tcMar>
              <w:top w:type="dxa" w:w="80"/>
              <w:left w:type="dxa" w:w="120"/>
              <w:bottom w:type="dxa" w:w="80"/>
              <w:right w:type="dxa" w:w="120"/>
            </w:tcMar>
            <w:vAlign w:val="center"/>
          </w:tcPr>
          <w:p>
            <w:pPr>
              <w:jc w:val="left"/>
            </w:pPr>
            <w:r>
              <w:rPr>
                <w:b/>
                <w:bCs/>
                <w:sz w:val="20"/>
                <w:szCs w:val="20"/>
              </w:rPr>
              <w:t xml:space="preserve">Signature</w:t>
            </w:r>
          </w:p>
        </w:tc>
        <w:tc>
          <w:tcPr>
            <w:tcW w:type="dxa" w:w="2000"/>
            <w:tcBorders>
              <w:top w:val="single" w:color="CCCCCC" w:sz="4"/>
              <w:left w:val="single" w:color="CCCCCC" w:sz="4"/>
              <w:bottom w:val="single" w:color="CCCCCC" w:sz="4"/>
              <w:right w:val="single" w:color="CCCCCC" w:sz="4"/>
            </w:tcBorders>
            <w:shd w:fill="FFF6E5" w:color="auto" w:val="clear"/>
            <w:tcMar>
              <w:top w:type="dxa" w:w="80"/>
              <w:left w:type="dxa" w:w="120"/>
              <w:bottom w:type="dxa" w:w="80"/>
              <w:right w:type="dxa" w:w="120"/>
            </w:tcMar>
            <w:vAlign w:val="center"/>
          </w:tcPr>
          <w:p>
            <w:pPr>
              <w:jc w:val="left"/>
            </w:pPr>
            <w:r>
              <w:rPr>
                <w:b/>
                <w:bCs/>
                <w:sz w:val="20"/>
                <w:szCs w:val="20"/>
              </w:rPr>
              <w:t xml:space="preserve">Date</w:t>
            </w:r>
          </w:p>
        </w:tc>
      </w:tr>
      <w:tr>
        <w:trPr>
          <w:trHeight w:val="700" w:hRule="atLeast"/>
        </w:trPr>
        <w:tc>
          <w:tcPr>
            <w:tcW w:type="dxa" w:w="2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b/>
                <w:bCs/>
                <w:sz w:val="20"/>
                <w:szCs w:val="20"/>
              </w:rPr>
              <w:t xml:space="preserve">Customer / Mario (Teacher)</w:t>
            </w:r>
          </w:p>
        </w:tc>
        <w:tc>
          <w:tcPr>
            <w:tcW w:type="dxa" w:w="2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
            </w:r>
          </w:p>
        </w:tc>
        <w:tc>
          <w:tcPr>
            <w:tcW w:type="dxa" w:w="2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
            </w:r>
          </w:p>
        </w:tc>
        <w:tc>
          <w:tcPr>
            <w:tcW w:type="dxa" w:w="20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
            </w:r>
          </w:p>
        </w:tc>
      </w:tr>
    </w:tbl>
    <w:p>
      <w:pPr>
        <w:spacing w:after="120"/>
      </w:pPr>
    </w:p>
    <w:p>
      <w:pPr>
        <w:pStyle w:val="Heading2"/>
      </w:pPr>
      <w:r>
        <w:t xml:space="preserve">Student Developer</w:t>
      </w:r>
    </w:p>
    <w:p>
      <w:pPr>
        <w:spacing w:after="120"/>
      </w:pPr>
      <w:r>
        <w:t xml:space="preserve">"I wrote and understand pizza_bot.py. I can explain every if/else in it. I have run pizza_turtle.py on my PC and watched it draw my order."</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2600"/>
        <w:gridCol w:w="2600"/>
        <w:gridCol w:w="2600"/>
        <w:gridCol w:w="2000"/>
      </w:tblGrid>
      <w:tr>
        <w:tc>
          <w:tcPr>
            <w:tcW w:type="dxa" w:w="2600"/>
            <w:tcBorders>
              <w:top w:val="single" w:color="CCCCCC" w:sz="4"/>
              <w:left w:val="single" w:color="CCCCCC" w:sz="4"/>
              <w:bottom w:val="single" w:color="CCCCCC" w:sz="4"/>
              <w:right w:val="single" w:color="CCCCCC" w:sz="4"/>
            </w:tcBorders>
            <w:shd w:fill="FFF6E5" w:color="auto" w:val="clear"/>
            <w:tcMar>
              <w:top w:type="dxa" w:w="80"/>
              <w:left w:type="dxa" w:w="120"/>
              <w:bottom w:type="dxa" w:w="80"/>
              <w:right w:type="dxa" w:w="120"/>
            </w:tcMar>
            <w:vAlign w:val="center"/>
          </w:tcPr>
          <w:p>
            <w:pPr>
              <w:jc w:val="left"/>
            </w:pPr>
            <w:r>
              <w:rPr>
                <w:b/>
                <w:bCs/>
                <w:sz w:val="20"/>
                <w:szCs w:val="20"/>
              </w:rPr>
              <w:t xml:space="preserve">Role</w:t>
            </w:r>
          </w:p>
        </w:tc>
        <w:tc>
          <w:tcPr>
            <w:tcW w:type="dxa" w:w="2600"/>
            <w:tcBorders>
              <w:top w:val="single" w:color="CCCCCC" w:sz="4"/>
              <w:left w:val="single" w:color="CCCCCC" w:sz="4"/>
              <w:bottom w:val="single" w:color="CCCCCC" w:sz="4"/>
              <w:right w:val="single" w:color="CCCCCC" w:sz="4"/>
            </w:tcBorders>
            <w:shd w:fill="FFF6E5" w:color="auto" w:val="clear"/>
            <w:tcMar>
              <w:top w:type="dxa" w:w="80"/>
              <w:left w:type="dxa" w:w="120"/>
              <w:bottom w:type="dxa" w:w="80"/>
              <w:right w:type="dxa" w:w="120"/>
            </w:tcMar>
            <w:vAlign w:val="center"/>
          </w:tcPr>
          <w:p>
            <w:pPr>
              <w:jc w:val="left"/>
            </w:pPr>
            <w:r>
              <w:rPr>
                <w:b/>
                <w:bCs/>
                <w:sz w:val="20"/>
                <w:szCs w:val="20"/>
              </w:rPr>
              <w:t xml:space="preserve">Name</w:t>
            </w:r>
          </w:p>
        </w:tc>
        <w:tc>
          <w:tcPr>
            <w:tcW w:type="dxa" w:w="2600"/>
            <w:tcBorders>
              <w:top w:val="single" w:color="CCCCCC" w:sz="4"/>
              <w:left w:val="single" w:color="CCCCCC" w:sz="4"/>
              <w:bottom w:val="single" w:color="CCCCCC" w:sz="4"/>
              <w:right w:val="single" w:color="CCCCCC" w:sz="4"/>
            </w:tcBorders>
            <w:shd w:fill="FFF6E5" w:color="auto" w:val="clear"/>
            <w:tcMar>
              <w:top w:type="dxa" w:w="80"/>
              <w:left w:type="dxa" w:w="120"/>
              <w:bottom w:type="dxa" w:w="80"/>
              <w:right w:type="dxa" w:w="120"/>
            </w:tcMar>
            <w:vAlign w:val="center"/>
          </w:tcPr>
          <w:p>
            <w:pPr>
              <w:jc w:val="left"/>
            </w:pPr>
            <w:r>
              <w:rPr>
                <w:b/>
                <w:bCs/>
                <w:sz w:val="20"/>
                <w:szCs w:val="20"/>
              </w:rPr>
              <w:t xml:space="preserve">Signature</w:t>
            </w:r>
          </w:p>
        </w:tc>
        <w:tc>
          <w:tcPr>
            <w:tcW w:type="dxa" w:w="2000"/>
            <w:tcBorders>
              <w:top w:val="single" w:color="CCCCCC" w:sz="4"/>
              <w:left w:val="single" w:color="CCCCCC" w:sz="4"/>
              <w:bottom w:val="single" w:color="CCCCCC" w:sz="4"/>
              <w:right w:val="single" w:color="CCCCCC" w:sz="4"/>
            </w:tcBorders>
            <w:shd w:fill="FFF6E5" w:color="auto" w:val="clear"/>
            <w:tcMar>
              <w:top w:type="dxa" w:w="80"/>
              <w:left w:type="dxa" w:w="120"/>
              <w:bottom w:type="dxa" w:w="80"/>
              <w:right w:type="dxa" w:w="120"/>
            </w:tcMar>
            <w:vAlign w:val="center"/>
          </w:tcPr>
          <w:p>
            <w:pPr>
              <w:jc w:val="left"/>
            </w:pPr>
            <w:r>
              <w:rPr>
                <w:b/>
                <w:bCs/>
                <w:sz w:val="20"/>
                <w:szCs w:val="20"/>
              </w:rPr>
              <w:t xml:space="preserve">Date</w:t>
            </w:r>
          </w:p>
        </w:tc>
      </w:tr>
      <w:tr>
        <w:trPr>
          <w:trHeight w:val="700" w:hRule="atLeast"/>
        </w:trPr>
        <w:tc>
          <w:tcPr>
            <w:tcW w:type="dxa" w:w="2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b/>
                <w:bCs/>
                <w:sz w:val="20"/>
                <w:szCs w:val="20"/>
              </w:rPr>
              <w:t xml:space="preserve">Student Developer</w:t>
            </w:r>
          </w:p>
        </w:tc>
        <w:tc>
          <w:tcPr>
            <w:tcW w:type="dxa" w:w="2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
            </w:r>
          </w:p>
        </w:tc>
        <w:tc>
          <w:tcPr>
            <w:tcW w:type="dxa" w:w="2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
            </w:r>
          </w:p>
        </w:tc>
        <w:tc>
          <w:tcPr>
            <w:tcW w:type="dxa" w:w="20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
            </w:r>
          </w:p>
        </w:tc>
      </w:tr>
    </w:tbl>
    <w:p>
      <w:pPr>
        <w:spacing w:after="120"/>
      </w:pPr>
    </w:p>
    <w:p>
      <w:pPr>
        <w:pStyle w:val="Heading2"/>
      </w:pPr>
      <w:r>
        <w:t xml:space="preserve">QA Tester</w:t>
      </w:r>
    </w:p>
    <w:p>
      <w:pPr>
        <w:spacing w:after="120"/>
      </w:pPr>
      <w:r>
        <w:t xml:space="preserve">"I ordered pizzas on the website and in Python, tried to break it, and the totals were right every time. I have seen the Test Summary Report and agree with it."</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2600"/>
        <w:gridCol w:w="2600"/>
        <w:gridCol w:w="2600"/>
        <w:gridCol w:w="2000"/>
      </w:tblGrid>
      <w:tr>
        <w:tc>
          <w:tcPr>
            <w:tcW w:type="dxa" w:w="2600"/>
            <w:tcBorders>
              <w:top w:val="single" w:color="CCCCCC" w:sz="4"/>
              <w:left w:val="single" w:color="CCCCCC" w:sz="4"/>
              <w:bottom w:val="single" w:color="CCCCCC" w:sz="4"/>
              <w:right w:val="single" w:color="CCCCCC" w:sz="4"/>
            </w:tcBorders>
            <w:shd w:fill="FFF6E5" w:color="auto" w:val="clear"/>
            <w:tcMar>
              <w:top w:type="dxa" w:w="80"/>
              <w:left w:type="dxa" w:w="120"/>
              <w:bottom w:type="dxa" w:w="80"/>
              <w:right w:type="dxa" w:w="120"/>
            </w:tcMar>
            <w:vAlign w:val="center"/>
          </w:tcPr>
          <w:p>
            <w:pPr>
              <w:jc w:val="left"/>
            </w:pPr>
            <w:r>
              <w:rPr>
                <w:b/>
                <w:bCs/>
                <w:sz w:val="20"/>
                <w:szCs w:val="20"/>
              </w:rPr>
              <w:t xml:space="preserve">Role</w:t>
            </w:r>
          </w:p>
        </w:tc>
        <w:tc>
          <w:tcPr>
            <w:tcW w:type="dxa" w:w="2600"/>
            <w:tcBorders>
              <w:top w:val="single" w:color="CCCCCC" w:sz="4"/>
              <w:left w:val="single" w:color="CCCCCC" w:sz="4"/>
              <w:bottom w:val="single" w:color="CCCCCC" w:sz="4"/>
              <w:right w:val="single" w:color="CCCCCC" w:sz="4"/>
            </w:tcBorders>
            <w:shd w:fill="FFF6E5" w:color="auto" w:val="clear"/>
            <w:tcMar>
              <w:top w:type="dxa" w:w="80"/>
              <w:left w:type="dxa" w:w="120"/>
              <w:bottom w:type="dxa" w:w="80"/>
              <w:right w:type="dxa" w:w="120"/>
            </w:tcMar>
            <w:vAlign w:val="center"/>
          </w:tcPr>
          <w:p>
            <w:pPr>
              <w:jc w:val="left"/>
            </w:pPr>
            <w:r>
              <w:rPr>
                <w:b/>
                <w:bCs/>
                <w:sz w:val="20"/>
                <w:szCs w:val="20"/>
              </w:rPr>
              <w:t xml:space="preserve">Name</w:t>
            </w:r>
          </w:p>
        </w:tc>
        <w:tc>
          <w:tcPr>
            <w:tcW w:type="dxa" w:w="2600"/>
            <w:tcBorders>
              <w:top w:val="single" w:color="CCCCCC" w:sz="4"/>
              <w:left w:val="single" w:color="CCCCCC" w:sz="4"/>
              <w:bottom w:val="single" w:color="CCCCCC" w:sz="4"/>
              <w:right w:val="single" w:color="CCCCCC" w:sz="4"/>
            </w:tcBorders>
            <w:shd w:fill="FFF6E5" w:color="auto" w:val="clear"/>
            <w:tcMar>
              <w:top w:type="dxa" w:w="80"/>
              <w:left w:type="dxa" w:w="120"/>
              <w:bottom w:type="dxa" w:w="80"/>
              <w:right w:type="dxa" w:w="120"/>
            </w:tcMar>
            <w:vAlign w:val="center"/>
          </w:tcPr>
          <w:p>
            <w:pPr>
              <w:jc w:val="left"/>
            </w:pPr>
            <w:r>
              <w:rPr>
                <w:b/>
                <w:bCs/>
                <w:sz w:val="20"/>
                <w:szCs w:val="20"/>
              </w:rPr>
              <w:t xml:space="preserve">Signature</w:t>
            </w:r>
          </w:p>
        </w:tc>
        <w:tc>
          <w:tcPr>
            <w:tcW w:type="dxa" w:w="2000"/>
            <w:tcBorders>
              <w:top w:val="single" w:color="CCCCCC" w:sz="4"/>
              <w:left w:val="single" w:color="CCCCCC" w:sz="4"/>
              <w:bottom w:val="single" w:color="CCCCCC" w:sz="4"/>
              <w:right w:val="single" w:color="CCCCCC" w:sz="4"/>
            </w:tcBorders>
            <w:shd w:fill="FFF6E5" w:color="auto" w:val="clear"/>
            <w:tcMar>
              <w:top w:type="dxa" w:w="80"/>
              <w:left w:type="dxa" w:w="120"/>
              <w:bottom w:type="dxa" w:w="80"/>
              <w:right w:type="dxa" w:w="120"/>
            </w:tcMar>
            <w:vAlign w:val="center"/>
          </w:tcPr>
          <w:p>
            <w:pPr>
              <w:jc w:val="left"/>
            </w:pPr>
            <w:r>
              <w:rPr>
                <w:b/>
                <w:bCs/>
                <w:sz w:val="20"/>
                <w:szCs w:val="20"/>
              </w:rPr>
              <w:t xml:space="preserve">Date</w:t>
            </w:r>
          </w:p>
        </w:tc>
      </w:tr>
      <w:tr>
        <w:trPr>
          <w:trHeight w:val="700" w:hRule="atLeast"/>
        </w:trPr>
        <w:tc>
          <w:tcPr>
            <w:tcW w:type="dxa" w:w="2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b/>
                <w:bCs/>
                <w:sz w:val="20"/>
                <w:szCs w:val="20"/>
              </w:rPr>
              <w:t xml:space="preserve">QA Tester (Family)</w:t>
            </w:r>
          </w:p>
        </w:tc>
        <w:tc>
          <w:tcPr>
            <w:tcW w:type="dxa" w:w="2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
            </w:r>
          </w:p>
        </w:tc>
        <w:tc>
          <w:tcPr>
            <w:tcW w:type="dxa" w:w="2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
            </w:r>
          </w:p>
        </w:tc>
        <w:tc>
          <w:tcPr>
            <w:tcW w:type="dxa" w:w="20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
            </w:r>
          </w:p>
        </w:tc>
      </w:tr>
    </w:tbl>
    <w:p>
      <w:pPr>
        <w:spacing w:after="120"/>
      </w:pPr>
    </w:p>
    <w:p>
      <w:pPr>
        <w:pStyle w:val="Heading2"/>
      </w:pPr>
      <w:r>
        <w:t xml:space="preserve">Project Sponsor</w:t>
      </w:r>
    </w:p>
    <w:p>
      <w:pPr>
        <w:spacing w:after="120"/>
      </w:pPr>
      <w:r>
        <w:t xml:space="preserve">"The site commissioning tests in section 4 have been completed and C-1 to C-5 passed. The residual risks in section 6 are accepted. The hostname is confirmed as ______________________. I approve release to production."</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2600"/>
        <w:gridCol w:w="2600"/>
        <w:gridCol w:w="2600"/>
        <w:gridCol w:w="2000"/>
      </w:tblGrid>
      <w:tr>
        <w:tc>
          <w:tcPr>
            <w:tcW w:type="dxa" w:w="2600"/>
            <w:tcBorders>
              <w:top w:val="single" w:color="CCCCCC" w:sz="4"/>
              <w:left w:val="single" w:color="CCCCCC" w:sz="4"/>
              <w:bottom w:val="single" w:color="CCCCCC" w:sz="4"/>
              <w:right w:val="single" w:color="CCCCCC" w:sz="4"/>
            </w:tcBorders>
            <w:shd w:fill="FFF6E5" w:color="auto" w:val="clear"/>
            <w:tcMar>
              <w:top w:type="dxa" w:w="80"/>
              <w:left w:type="dxa" w:w="120"/>
              <w:bottom w:type="dxa" w:w="80"/>
              <w:right w:type="dxa" w:w="120"/>
            </w:tcMar>
            <w:vAlign w:val="center"/>
          </w:tcPr>
          <w:p>
            <w:pPr>
              <w:jc w:val="left"/>
            </w:pPr>
            <w:r>
              <w:rPr>
                <w:b/>
                <w:bCs/>
                <w:sz w:val="20"/>
                <w:szCs w:val="20"/>
              </w:rPr>
              <w:t xml:space="preserve">Role</w:t>
            </w:r>
          </w:p>
        </w:tc>
        <w:tc>
          <w:tcPr>
            <w:tcW w:type="dxa" w:w="2600"/>
            <w:tcBorders>
              <w:top w:val="single" w:color="CCCCCC" w:sz="4"/>
              <w:left w:val="single" w:color="CCCCCC" w:sz="4"/>
              <w:bottom w:val="single" w:color="CCCCCC" w:sz="4"/>
              <w:right w:val="single" w:color="CCCCCC" w:sz="4"/>
            </w:tcBorders>
            <w:shd w:fill="FFF6E5" w:color="auto" w:val="clear"/>
            <w:tcMar>
              <w:top w:type="dxa" w:w="80"/>
              <w:left w:type="dxa" w:w="120"/>
              <w:bottom w:type="dxa" w:w="80"/>
              <w:right w:type="dxa" w:w="120"/>
            </w:tcMar>
            <w:vAlign w:val="center"/>
          </w:tcPr>
          <w:p>
            <w:pPr>
              <w:jc w:val="left"/>
            </w:pPr>
            <w:r>
              <w:rPr>
                <w:b/>
                <w:bCs/>
                <w:sz w:val="20"/>
                <w:szCs w:val="20"/>
              </w:rPr>
              <w:t xml:space="preserve">Name</w:t>
            </w:r>
          </w:p>
        </w:tc>
        <w:tc>
          <w:tcPr>
            <w:tcW w:type="dxa" w:w="2600"/>
            <w:tcBorders>
              <w:top w:val="single" w:color="CCCCCC" w:sz="4"/>
              <w:left w:val="single" w:color="CCCCCC" w:sz="4"/>
              <w:bottom w:val="single" w:color="CCCCCC" w:sz="4"/>
              <w:right w:val="single" w:color="CCCCCC" w:sz="4"/>
            </w:tcBorders>
            <w:shd w:fill="FFF6E5" w:color="auto" w:val="clear"/>
            <w:tcMar>
              <w:top w:type="dxa" w:w="80"/>
              <w:left w:type="dxa" w:w="120"/>
              <w:bottom w:type="dxa" w:w="80"/>
              <w:right w:type="dxa" w:w="120"/>
            </w:tcMar>
            <w:vAlign w:val="center"/>
          </w:tcPr>
          <w:p>
            <w:pPr>
              <w:jc w:val="left"/>
            </w:pPr>
            <w:r>
              <w:rPr>
                <w:b/>
                <w:bCs/>
                <w:sz w:val="20"/>
                <w:szCs w:val="20"/>
              </w:rPr>
              <w:t xml:space="preserve">Signature</w:t>
            </w:r>
          </w:p>
        </w:tc>
        <w:tc>
          <w:tcPr>
            <w:tcW w:type="dxa" w:w="2000"/>
            <w:tcBorders>
              <w:top w:val="single" w:color="CCCCCC" w:sz="4"/>
              <w:left w:val="single" w:color="CCCCCC" w:sz="4"/>
              <w:bottom w:val="single" w:color="CCCCCC" w:sz="4"/>
              <w:right w:val="single" w:color="CCCCCC" w:sz="4"/>
            </w:tcBorders>
            <w:shd w:fill="FFF6E5" w:color="auto" w:val="clear"/>
            <w:tcMar>
              <w:top w:type="dxa" w:w="80"/>
              <w:left w:type="dxa" w:w="120"/>
              <w:bottom w:type="dxa" w:w="80"/>
              <w:right w:type="dxa" w:w="120"/>
            </w:tcMar>
            <w:vAlign w:val="center"/>
          </w:tcPr>
          <w:p>
            <w:pPr>
              <w:jc w:val="left"/>
            </w:pPr>
            <w:r>
              <w:rPr>
                <w:b/>
                <w:bCs/>
                <w:sz w:val="20"/>
                <w:szCs w:val="20"/>
              </w:rPr>
              <w:t xml:space="preserve">Date</w:t>
            </w:r>
          </w:p>
        </w:tc>
      </w:tr>
      <w:tr>
        <w:trPr>
          <w:trHeight w:val="700" w:hRule="atLeast"/>
        </w:trPr>
        <w:tc>
          <w:tcPr>
            <w:tcW w:type="dxa" w:w="2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b/>
                <w:bCs/>
                <w:sz w:val="20"/>
                <w:szCs w:val="20"/>
              </w:rPr>
              <w:t xml:space="preserve">Project Sponsor (Dad)</w:t>
            </w:r>
          </w:p>
        </w:tc>
        <w:tc>
          <w:tcPr>
            <w:tcW w:type="dxa" w:w="2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Ant</w:t>
            </w:r>
          </w:p>
        </w:tc>
        <w:tc>
          <w:tcPr>
            <w:tcW w:type="dxa" w:w="2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
            </w:r>
          </w:p>
        </w:tc>
        <w:tc>
          <w:tcPr>
            <w:tcW w:type="dxa" w:w="20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
            </w:r>
          </w:p>
        </w:tc>
      </w:tr>
    </w:tbl>
    <w:sectPr>
      <w:headerReference w:type="default" r:id="rId7"/>
      <w:footerReference w:type="default" r:id="rId8"/>
      <w:pgSz w:w="11906" w:h="16838" w:orient="portrait"/>
      <w:pgMar w:top="1000" w:right="1000" w:bottom="10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66666"/>
        <w:sz w:val="18"/>
        <w:szCs w:val="18"/>
      </w:rPr>
      <w:t xml:space="preserve">Shelly Software Co.  •  Page </w:t>
    </w:r>
    <w:r>
      <w:rPr>
        <w:color w:val="666666"/>
        <w:sz w:val="18"/>
        <w:szCs w:val="18"/>
      </w:rPr>
      <w:fldChar w:fldCharType="begin"/>
      <w:instrText xml:space="preserve">PAGE</w:instrText>
      <w:fldChar w:fldCharType="separate"/>
      <w:fldChar w:fldCharType="end"/>
    </w:r>
    <w:r>
      <w:rPr>
        <w:color w:val="666666"/>
        <w:sz w:val="18"/>
        <w:szCs w:val="18"/>
      </w:rPr>
      <w:t xml:space="preserve"> of </w:t>
    </w:r>
    <w:r>
      <w:rPr>
        <w:color w:val="666666"/>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b/>
        <w:bCs/>
        <w:color w:val="C0392B"/>
        <w:sz w:val="18"/>
        <w:szCs w:val="18"/>
      </w:rPr>
      <w:t xml:space="preserve">MARIO'S PIZZERIA KIOSK  </w:t>
    </w:r>
    <w:r>
      <w:rPr>
        <w:color w:val="666666"/>
        <w:sz w:val="18"/>
        <w:szCs w:val="18"/>
      </w:rPr>
      <w:t xml:space="preserve">•  Commissioning Report &amp; Production Sign-off</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pPr>
      <w:spacing w:after="120"/>
    </w:pPr>
    <w:rPr>
      <w:rFonts w:ascii="Calibri" w:cs="Calibri" w:eastAsia="Calibri" w:hAnsi="Calibri"/>
      <w:b/>
      <w:bCs/>
      <w:color w:val="1E2A38"/>
      <w:sz w:val="56"/>
      <w:szCs w:val="56"/>
    </w:rPr>
  </w:style>
  <w:style w:type="paragraph" w:styleId="Subtitle">
    <w:name w:val="Subtitle"/>
    <w:basedOn w:val="Normal"/>
    <w:pPr>
      <w:spacing w:after="400"/>
    </w:pPr>
    <w:rPr>
      <w:rFonts w:ascii="Calibri" w:cs="Calibri" w:eastAsia="Calibri" w:hAnsi="Calibri"/>
      <w:color w:val="C0392B"/>
      <w:sz w:val="28"/>
      <w:szCs w:val="28"/>
    </w:rPr>
  </w:style>
  <w:style w:type="paragraph" w:styleId="Heading1">
    <w:name w:val="Heading 1"/>
    <w:basedOn w:val="Normal"/>
    <w:next w:val="Normal"/>
    <w:qFormat/>
    <w:pPr>
      <w:spacing w:after="120" w:before="360"/>
      <w:outlineLvl w:val="0"/>
    </w:pPr>
    <w:rPr>
      <w:rFonts w:ascii="Calibri" w:cs="Calibri" w:eastAsia="Calibri" w:hAnsi="Calibri"/>
      <w:b/>
      <w:bCs/>
      <w:color w:val="C0392B"/>
      <w:sz w:val="32"/>
      <w:szCs w:val="32"/>
    </w:rPr>
  </w:style>
  <w:style w:type="paragraph" w:styleId="Heading2">
    <w:name w:val="Heading 2"/>
    <w:basedOn w:val="Normal"/>
    <w:next w:val="Normal"/>
    <w:qFormat/>
    <w:pPr>
      <w:spacing w:after="80" w:before="240"/>
      <w:outlineLvl w:val="1"/>
    </w:pPr>
    <w:rPr>
      <w:rFonts w:ascii="Calibri" w:cs="Calibri" w:eastAsia="Calibri" w:hAnsi="Calibri"/>
      <w:b/>
      <w:bCs/>
      <w:color w:val="1E2A38"/>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2026-09-09T23:24:05.189Z</dcterms:created>
  <dcterms:modified xsi:type="dcterms:W3CDTF">2026-09-09T23:24:05.189Z</dcterms:modified>
</cp:coreProperties>
</file>

<file path=docProps/custom.xml><?xml version="1.0" encoding="utf-8"?>
<Properties xmlns="http://schemas.openxmlformats.org/officeDocument/2006/custom-properties" xmlns:vt="http://schemas.openxmlformats.org/officeDocument/2006/docPropsVTypes"/>
</file>